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EA" w:rsidRPr="00BD08EA" w:rsidRDefault="00BD08EA" w:rsidP="00BD08EA">
      <w:pPr>
        <w:pStyle w:val="Heading2"/>
        <w:shd w:val="clear" w:color="auto" w:fill="FFFFFF"/>
        <w:spacing w:before="240" w:beforeAutospacing="0" w:after="120" w:afterAutospacing="0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  <w:r w:rsidRPr="00BD08EA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Scientists from JNCASR of DST</w:t>
      </w: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r w:rsidRPr="00BD08EA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stabilize gold in non-cubic lattice, unfurling efficient catalytic properties of the metal</w:t>
      </w:r>
      <w:r w:rsidRPr="00BD08EA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br/>
      </w:r>
    </w:p>
    <w:p w:rsidR="00BD08EA" w:rsidRDefault="00BD08EA" w:rsidP="00BD08EA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BD08EA">
        <w:rPr>
          <w:rFonts w:eastAsia="Times New Roman" w:cstheme="minorHAnsi"/>
          <w:color w:val="333333"/>
          <w:sz w:val="24"/>
          <w:szCs w:val="24"/>
        </w:rPr>
        <w:t>Gold has been a fascinating metal for use in jewelry and well as industrial applications because of its high resistance against conventional oxidizing environments. The unique property of </w:t>
      </w:r>
      <w:r w:rsidRPr="00BD08E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Au</w:t>
      </w:r>
      <w:r w:rsidRPr="00BD08EA">
        <w:rPr>
          <w:rFonts w:eastAsia="Times New Roman" w:cstheme="minorHAnsi"/>
          <w:color w:val="333333"/>
          <w:sz w:val="24"/>
          <w:szCs w:val="24"/>
        </w:rPr>
        <w:t> is mainly dictated by its atomic arrangement in the crystal structure, technically called face-centered cubic (</w:t>
      </w:r>
      <w:proofErr w:type="spellStart"/>
      <w:proofErr w:type="gramStart"/>
      <w:r w:rsidRPr="00BD08EA">
        <w:rPr>
          <w:rFonts w:eastAsia="Times New Roman" w:cstheme="minorHAnsi"/>
          <w:color w:val="333333"/>
          <w:sz w:val="24"/>
          <w:szCs w:val="24"/>
        </w:rPr>
        <w:t>fcc</w:t>
      </w:r>
      <w:proofErr w:type="spellEnd"/>
      <w:proofErr w:type="gramEnd"/>
      <w:r w:rsidRPr="00BD08EA">
        <w:rPr>
          <w:rFonts w:eastAsia="Times New Roman" w:cstheme="minorHAnsi"/>
          <w:color w:val="333333"/>
          <w:sz w:val="24"/>
          <w:szCs w:val="24"/>
        </w:rPr>
        <w:t>) lattice.</w:t>
      </w:r>
    </w:p>
    <w:p w:rsidR="00BD08EA" w:rsidRPr="00BD08EA" w:rsidRDefault="00BD08EA" w:rsidP="00BD08EA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BD08EA" w:rsidRDefault="00BD08EA" w:rsidP="00BD08EA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Scientists have introduced new catalytic properties in gold by altering the most stable </w:t>
      </w:r>
      <w:proofErr w:type="spellStart"/>
      <w:proofErr w:type="gramStart"/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fcc</w:t>
      </w:r>
      <w:proofErr w:type="spellEnd"/>
      <w:proofErr w:type="gramEnd"/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lattice, converting it into a new avatar that can trigger gold-based catalysis for industry.</w:t>
      </w:r>
    </w:p>
    <w:p w:rsidR="00BD08EA" w:rsidRPr="00BD08EA" w:rsidRDefault="00BD08EA" w:rsidP="00BD08EA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BD08EA" w:rsidRDefault="00BD08EA" w:rsidP="00BD08EA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BD08EA">
        <w:rPr>
          <w:rFonts w:eastAsia="Times New Roman" w:cstheme="minorHAnsi"/>
          <w:color w:val="333333"/>
          <w:sz w:val="24"/>
          <w:szCs w:val="24"/>
        </w:rPr>
        <w:t xml:space="preserve">Tuning of crystal structures and shapes of micro-sized noble metals or micro-crystallites have revealed fascinating catalytic, optical, electrical, and magnetic properties that enable developments of environmentally friendly and durable </w:t>
      </w:r>
      <w:proofErr w:type="spellStart"/>
      <w:r w:rsidRPr="00BD08EA">
        <w:rPr>
          <w:rFonts w:eastAsia="Times New Roman" w:cstheme="minorHAnsi"/>
          <w:color w:val="333333"/>
          <w:sz w:val="24"/>
          <w:szCs w:val="24"/>
        </w:rPr>
        <w:t>nano</w:t>
      </w:r>
      <w:proofErr w:type="spellEnd"/>
      <w:r w:rsidRPr="00BD08EA">
        <w:rPr>
          <w:rFonts w:eastAsia="Times New Roman" w:cstheme="minorHAnsi"/>
          <w:color w:val="333333"/>
          <w:sz w:val="24"/>
          <w:szCs w:val="24"/>
        </w:rPr>
        <w:t>-technological applications.</w:t>
      </w:r>
    </w:p>
    <w:p w:rsidR="00BD08EA" w:rsidRPr="00BD08EA" w:rsidRDefault="00BD08EA" w:rsidP="00BD08EA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BD08EA" w:rsidRDefault="00BD08EA" w:rsidP="00BD08EA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BD08EA">
        <w:rPr>
          <w:rFonts w:eastAsia="Times New Roman" w:cstheme="minorHAnsi"/>
          <w:color w:val="333333"/>
          <w:sz w:val="24"/>
          <w:szCs w:val="24"/>
        </w:rPr>
        <w:t>Scientists from </w:t>
      </w:r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Jawaharlal Nehru Centre for Advanced Scientific Research (JNCASR), an autonomous institute of the Department of Science &amp; Technology (DST), Government of India, have stabilized gold in </w:t>
      </w:r>
      <w:r w:rsidRPr="00BD08EA">
        <w:rPr>
          <w:rFonts w:eastAsia="Times New Roman" w:cstheme="minorHAnsi"/>
          <w:color w:val="333333"/>
          <w:sz w:val="24"/>
          <w:szCs w:val="24"/>
        </w:rPr>
        <w:t>non-cubic lattice, unfurling efficient catalytic properties of the metal.</w:t>
      </w:r>
    </w:p>
    <w:p w:rsidR="00BD08EA" w:rsidRPr="00BD08EA" w:rsidRDefault="00BD08EA" w:rsidP="00BD08EA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BD08EA" w:rsidRDefault="00BD08EA" w:rsidP="00BD08EA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The team guided by Prof. G.U </w:t>
      </w:r>
      <w:proofErr w:type="spellStart"/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Kulkarni</w:t>
      </w:r>
      <w:proofErr w:type="spellEnd"/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from JNCASR has stabilized Au in mixed lattices consisting of lower symmetry lattices in the form of micro-crystallites, induced by geometrical constraints. In contrast to conventional bulk </w:t>
      </w:r>
      <w:proofErr w:type="spellStart"/>
      <w:proofErr w:type="gramStart"/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fcc</w:t>
      </w:r>
      <w:proofErr w:type="spellEnd"/>
      <w:proofErr w:type="gramEnd"/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gold, these micro-crystallites are more efficient in their catalytic activity. Besides, the crystallites behave nobler than the conventional </w:t>
      </w:r>
      <w:proofErr w:type="spellStart"/>
      <w:proofErr w:type="gramStart"/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fcc</w:t>
      </w:r>
      <w:proofErr w:type="spellEnd"/>
      <w:proofErr w:type="gramEnd"/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Au in mercury and aqua </w:t>
      </w:r>
      <w:proofErr w:type="spellStart"/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regia</w:t>
      </w:r>
      <w:proofErr w:type="spellEnd"/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. Thus, these Au crystallites behave quite differently from our day to day used ones, and the credit goes to the underlying unconventional lattices.</w:t>
      </w:r>
    </w:p>
    <w:p w:rsidR="00BD08EA" w:rsidRPr="00BD08EA" w:rsidRDefault="00BD08EA" w:rsidP="00BD08EA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BD08EA" w:rsidRDefault="00BD08EA" w:rsidP="00BD08EA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This research published in the journal </w:t>
      </w:r>
      <w:r w:rsidRPr="00BD08EA">
        <w:rPr>
          <w:rFonts w:eastAsia="Times New Roman" w:cstheme="minorHAnsi"/>
          <w:i/>
          <w:iCs/>
          <w:color w:val="333333"/>
          <w:sz w:val="24"/>
          <w:szCs w:val="24"/>
        </w:rPr>
        <w:t xml:space="preserve">ACS </w:t>
      </w:r>
      <w:proofErr w:type="spellStart"/>
      <w:r w:rsidRPr="00BD08EA">
        <w:rPr>
          <w:rFonts w:eastAsia="Times New Roman" w:cstheme="minorHAnsi"/>
          <w:i/>
          <w:iCs/>
          <w:color w:val="333333"/>
          <w:sz w:val="24"/>
          <w:szCs w:val="24"/>
        </w:rPr>
        <w:t>Nano’</w:t>
      </w:r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wassupported</w:t>
      </w:r>
      <w:proofErr w:type="spellEnd"/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by the Department of Science &amp; Technology, Government of India (DST) provided within the framework of the </w:t>
      </w:r>
      <w:proofErr w:type="spellStart"/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India@Desy</w:t>
      </w:r>
      <w:proofErr w:type="spellEnd"/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collaboration and </w:t>
      </w:r>
      <w:proofErr w:type="spellStart"/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Nano</w:t>
      </w:r>
      <w:proofErr w:type="spellEnd"/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Mission and the technical support from the EU-</w:t>
      </w:r>
      <w:r w:rsidRPr="00BD08EA">
        <w:rPr>
          <w:rFonts w:eastAsia="Times New Roman" w:cstheme="minorHAnsi"/>
          <w:i/>
          <w:iCs/>
          <w:color w:val="333333"/>
          <w:sz w:val="24"/>
          <w:szCs w:val="24"/>
        </w:rPr>
        <w:t>Horizon2020</w:t>
      </w:r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 research and innovation program of </w:t>
      </w:r>
      <w:proofErr w:type="spellStart"/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Nanoscience</w:t>
      </w:r>
      <w:proofErr w:type="spellEnd"/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Foundries and Fine Analysis (NFFA).</w:t>
      </w:r>
    </w:p>
    <w:p w:rsidR="00BD08EA" w:rsidRPr="00BD08EA" w:rsidRDefault="00BD08EA" w:rsidP="00BD08EA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BD08EA" w:rsidRPr="00BD08EA" w:rsidRDefault="00BD08EA" w:rsidP="00BD08EA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In this work, JNCASR team joined by Prof. M.K </w:t>
      </w:r>
      <w:proofErr w:type="spellStart"/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Sanyal</w:t>
      </w:r>
      <w:proofErr w:type="spellEnd"/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from SINP, Kolkata used scanning X-ray diffraction microscopy (SXDM) technique with </w:t>
      </w:r>
      <w:proofErr w:type="spellStart"/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nano</w:t>
      </w:r>
      <w:proofErr w:type="spellEnd"/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-beam at </w:t>
      </w:r>
      <w:proofErr w:type="spellStart"/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DeutschesElektronen</w:t>
      </w:r>
      <w:proofErr w:type="spellEnd"/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-</w:t>
      </w:r>
      <w:proofErr w:type="gramStart"/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Synchrotron(</w:t>
      </w:r>
      <w:proofErr w:type="gramEnd"/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DESY), PETRA III, Germany, which revealed location of the spatial distribution of the different lattices in the crystallite volume without using any slicing techniques.</w:t>
      </w:r>
    </w:p>
    <w:p w:rsidR="00BD08EA" w:rsidRPr="00BD08EA" w:rsidRDefault="00BD08EA" w:rsidP="00BD08EA">
      <w:pPr>
        <w:shd w:val="clear" w:color="auto" w:fill="FFFFFF"/>
        <w:spacing w:after="120" w:line="240" w:lineRule="auto"/>
        <w:ind w:left="360"/>
        <w:jc w:val="both"/>
        <w:rPr>
          <w:rFonts w:eastAsia="Times New Roman" w:cstheme="minorHAnsi"/>
          <w:color w:val="333333"/>
          <w:sz w:val="24"/>
          <w:szCs w:val="24"/>
        </w:rPr>
      </w:pPr>
      <w:r w:rsidRPr="00BD08EA">
        <w:rPr>
          <w:rFonts w:eastAsia="Times New Roman" w:cstheme="minorHAnsi"/>
          <w:color w:val="333333"/>
          <w:sz w:val="24"/>
          <w:szCs w:val="24"/>
        </w:rPr>
        <w:t> </w:t>
      </w:r>
    </w:p>
    <w:p w:rsidR="00BD08EA" w:rsidRPr="00BD08EA" w:rsidRDefault="00BD08EA" w:rsidP="00BD08EA">
      <w:pPr>
        <w:shd w:val="clear" w:color="auto" w:fill="FFFFFF"/>
        <w:spacing w:after="120" w:line="240" w:lineRule="auto"/>
        <w:ind w:left="360"/>
        <w:jc w:val="center"/>
        <w:rPr>
          <w:rFonts w:eastAsia="Times New Roman" w:cstheme="minorHAnsi"/>
          <w:color w:val="333333"/>
          <w:sz w:val="24"/>
          <w:szCs w:val="24"/>
        </w:rPr>
      </w:pPr>
      <w:r w:rsidRPr="00BD08EA">
        <w:rPr>
          <w:rFonts w:eastAsia="Times New Roman" w:cstheme="minorHAnsi"/>
          <w:noProof/>
          <w:color w:val="333333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3268980" cy="1866900"/>
            <wp:effectExtent l="19050" t="0" r="7620" b="0"/>
            <wp:docPr id="1" name="Picture 33" descr="http://164.100.117.97/WriteReadData/userfiles/image/image002U7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164.100.117.97/WriteReadData/userfiles/image/image002U76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8EA" w:rsidRDefault="00BD08EA" w:rsidP="00BD08EA">
      <w:pPr>
        <w:shd w:val="clear" w:color="auto" w:fill="FFFFFF"/>
        <w:spacing w:after="120" w:line="240" w:lineRule="auto"/>
        <w:ind w:left="360"/>
        <w:jc w:val="center"/>
        <w:rPr>
          <w:rFonts w:eastAsia="Times New Roman" w:cstheme="minorHAnsi"/>
          <w:i/>
          <w:iCs/>
          <w:color w:val="333333"/>
          <w:sz w:val="24"/>
          <w:szCs w:val="24"/>
        </w:rPr>
      </w:pPr>
      <w:r w:rsidRPr="00BD08EA">
        <w:rPr>
          <w:rFonts w:eastAsia="Times New Roman" w:cstheme="minorHAnsi"/>
          <w:i/>
          <w:iCs/>
          <w:color w:val="333333"/>
          <w:sz w:val="24"/>
          <w:szCs w:val="24"/>
        </w:rPr>
        <w:t>Correlation between X-ray diffraction, diffraction microscopy and the corresponding multi-phased diffracting volumes in the crystallite</w:t>
      </w:r>
    </w:p>
    <w:p w:rsidR="00BD08EA" w:rsidRPr="00BD08EA" w:rsidRDefault="00BD08EA" w:rsidP="00BD08EA">
      <w:pPr>
        <w:shd w:val="clear" w:color="auto" w:fill="FFFFFF"/>
        <w:spacing w:after="120" w:line="240" w:lineRule="auto"/>
        <w:ind w:left="360"/>
        <w:jc w:val="center"/>
        <w:rPr>
          <w:rFonts w:eastAsia="Times New Roman" w:cstheme="minorHAnsi"/>
          <w:color w:val="333333"/>
          <w:sz w:val="24"/>
          <w:szCs w:val="24"/>
        </w:rPr>
      </w:pPr>
    </w:p>
    <w:p w:rsidR="00BD08EA" w:rsidRDefault="00BD08EA" w:rsidP="00BD08EA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The study disclosed many surprises. The central part of the crystallite is rich in lower symmetry lattices while being capped by the </w:t>
      </w:r>
      <w:proofErr w:type="spellStart"/>
      <w:proofErr w:type="gramStart"/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fcc</w:t>
      </w:r>
      <w:proofErr w:type="spellEnd"/>
      <w:proofErr w:type="gramEnd"/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rich tips, which explains their unique behavior in aqua </w:t>
      </w:r>
      <w:proofErr w:type="spellStart"/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regia</w:t>
      </w:r>
      <w:proofErr w:type="spellEnd"/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. Besides, co-presence of compression and expansion to the extent of approximately 5% (compared with conventional </w:t>
      </w:r>
      <w:proofErr w:type="spellStart"/>
      <w:proofErr w:type="gramStart"/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fcc</w:t>
      </w:r>
      <w:proofErr w:type="spellEnd"/>
      <w:proofErr w:type="gramEnd"/>
      <w:r w:rsidRPr="00BD08E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Au) in the micrometer-sized crystallite helps the crystallites remain ambient stable for years. Such study of the spatial distribution of the different phases can allow exploration of new properties in a much better way.</w:t>
      </w:r>
    </w:p>
    <w:p w:rsidR="00BD08EA" w:rsidRPr="00BD08EA" w:rsidRDefault="00BD08EA" w:rsidP="00BD08EA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BD08EA" w:rsidRPr="00BD08EA" w:rsidRDefault="00BD08EA" w:rsidP="00BD08EA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BD08EA">
        <w:rPr>
          <w:rFonts w:eastAsia="Times New Roman" w:cstheme="minorHAnsi"/>
          <w:color w:val="333333"/>
          <w:sz w:val="24"/>
          <w:szCs w:val="24"/>
        </w:rPr>
        <w:t>[</w:t>
      </w:r>
      <w:r w:rsidRPr="00BD08E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Publication </w:t>
      </w:r>
      <w:proofErr w:type="spellStart"/>
      <w:r w:rsidRPr="00BD08E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link</w:t>
      </w:r>
      <w:proofErr w:type="gramStart"/>
      <w:r w:rsidRPr="00BD08E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:</w:t>
      </w:r>
      <w:proofErr w:type="gramEnd"/>
      <w:r w:rsidRPr="00BD08EA">
        <w:rPr>
          <w:rFonts w:eastAsia="Times New Roman" w:cstheme="minorHAnsi"/>
          <w:color w:val="333333"/>
          <w:sz w:val="24"/>
          <w:szCs w:val="24"/>
        </w:rPr>
        <w:fldChar w:fldCharType="begin"/>
      </w:r>
      <w:r w:rsidRPr="00BD08EA">
        <w:rPr>
          <w:rFonts w:eastAsia="Times New Roman" w:cstheme="minorHAnsi"/>
          <w:color w:val="333333"/>
          <w:sz w:val="24"/>
          <w:szCs w:val="24"/>
        </w:rPr>
        <w:instrText xml:space="preserve"> HYPERLINK "https://doi.org/10.1021/acsnano.0c02031" \o "DOI URL" </w:instrText>
      </w:r>
      <w:r w:rsidRPr="00BD08EA">
        <w:rPr>
          <w:rFonts w:eastAsia="Times New Roman" w:cstheme="minorHAnsi"/>
          <w:color w:val="333333"/>
          <w:sz w:val="24"/>
          <w:szCs w:val="24"/>
        </w:rPr>
        <w:fldChar w:fldCharType="separate"/>
      </w:r>
      <w:r w:rsidRPr="00BD08EA">
        <w:rPr>
          <w:rFonts w:eastAsia="Times New Roman" w:cstheme="minorHAnsi"/>
          <w:b/>
          <w:bCs/>
          <w:i/>
          <w:iCs/>
          <w:color w:val="055193"/>
          <w:sz w:val="24"/>
          <w:szCs w:val="24"/>
        </w:rPr>
        <w:t>https</w:t>
      </w:r>
      <w:proofErr w:type="spellEnd"/>
      <w:r w:rsidRPr="00BD08EA">
        <w:rPr>
          <w:rFonts w:eastAsia="Times New Roman" w:cstheme="minorHAnsi"/>
          <w:b/>
          <w:bCs/>
          <w:i/>
          <w:iCs/>
          <w:color w:val="055193"/>
          <w:sz w:val="24"/>
          <w:szCs w:val="24"/>
        </w:rPr>
        <w:t>://doi.org/10.1021/acsnano.0c02031</w:t>
      </w:r>
      <w:r w:rsidRPr="00BD08EA">
        <w:rPr>
          <w:rFonts w:eastAsia="Times New Roman" w:cstheme="minorHAnsi"/>
          <w:color w:val="333333"/>
          <w:sz w:val="24"/>
          <w:szCs w:val="24"/>
        </w:rPr>
        <w:fldChar w:fldCharType="end"/>
      </w:r>
    </w:p>
    <w:p w:rsidR="00BD08EA" w:rsidRPr="00BD08EA" w:rsidRDefault="00BD08EA" w:rsidP="00BD08EA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BD08E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For more details co-author of this research </w:t>
      </w:r>
      <w:proofErr w:type="gramStart"/>
      <w:r w:rsidRPr="00BD08E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work</w:t>
      </w:r>
      <w:proofErr w:type="gramEnd"/>
      <w:r w:rsidRPr="00BD08E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 Miss </w:t>
      </w:r>
      <w:proofErr w:type="spellStart"/>
      <w:r w:rsidRPr="00BD08E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Chaitali</w:t>
      </w:r>
      <w:proofErr w:type="spellEnd"/>
      <w:r w:rsidRPr="00BD08E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 Sow (Ph.D. student, JNCASR): </w:t>
      </w:r>
      <w:hyperlink r:id="rId7" w:tgtFrame="_blank" w:history="1">
        <w:r w:rsidRPr="00BD08EA">
          <w:rPr>
            <w:rFonts w:eastAsia="Times New Roman" w:cstheme="minorHAnsi"/>
            <w:b/>
            <w:bCs/>
            <w:i/>
            <w:iCs/>
            <w:color w:val="055193"/>
            <w:sz w:val="24"/>
            <w:szCs w:val="24"/>
          </w:rPr>
          <w:t>chaitali@jncasr.ac.in</w:t>
        </w:r>
      </w:hyperlink>
      <w:r w:rsidRPr="00BD08E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 can be contacted.</w:t>
      </w:r>
      <w:r w:rsidRPr="00BD08EA">
        <w:rPr>
          <w:rFonts w:eastAsia="Times New Roman" w:cstheme="minorHAnsi"/>
          <w:i/>
          <w:iCs/>
          <w:color w:val="333333"/>
          <w:sz w:val="24"/>
          <w:szCs w:val="24"/>
        </w:rPr>
        <w:t>]</w:t>
      </w:r>
    </w:p>
    <w:p w:rsidR="00421266" w:rsidRPr="00BD08EA" w:rsidRDefault="00421266" w:rsidP="00BD08EA">
      <w:pPr>
        <w:pStyle w:val="Heading2"/>
        <w:shd w:val="clear" w:color="auto" w:fill="FFFFFF"/>
        <w:spacing w:before="240" w:beforeAutospacing="0" w:after="120" w:afterAutospacing="0"/>
        <w:rPr>
          <w:rFonts w:asciiTheme="minorHAnsi" w:hAnsiTheme="minorHAnsi" w:cstheme="minorHAnsi"/>
          <w:color w:val="AB172A"/>
          <w:sz w:val="24"/>
          <w:szCs w:val="24"/>
        </w:rPr>
      </w:pPr>
    </w:p>
    <w:p w:rsidR="001B350F" w:rsidRPr="00BD08EA" w:rsidRDefault="00421266" w:rsidP="00421266">
      <w:pPr>
        <w:shd w:val="clear" w:color="auto" w:fill="FFFFFF"/>
        <w:spacing w:before="240" w:after="120" w:line="240" w:lineRule="auto"/>
        <w:outlineLvl w:val="1"/>
        <w:rPr>
          <w:rFonts w:cstheme="minorHAnsi"/>
          <w:color w:val="AB172A"/>
          <w:sz w:val="24"/>
          <w:szCs w:val="24"/>
        </w:rPr>
      </w:pPr>
      <w:r w:rsidRPr="00BD08EA">
        <w:rPr>
          <w:rFonts w:cstheme="minorHAnsi"/>
          <w:color w:val="AB172A"/>
          <w:sz w:val="24"/>
          <w:szCs w:val="24"/>
        </w:rPr>
        <w:t xml:space="preserve"> </w:t>
      </w:r>
      <w:r w:rsidR="001B350F" w:rsidRPr="00BD08EA">
        <w:rPr>
          <w:rFonts w:cstheme="minorHAnsi"/>
          <w:color w:val="AB172A"/>
          <w:sz w:val="24"/>
          <w:szCs w:val="24"/>
        </w:rPr>
        <w:t>Source</w:t>
      </w:r>
    </w:p>
    <w:p w:rsidR="001B350F" w:rsidRPr="00BD08EA" w:rsidRDefault="001B350F" w:rsidP="005D10A3">
      <w:pPr>
        <w:shd w:val="clear" w:color="auto" w:fill="FFFFFF"/>
        <w:spacing w:after="109" w:line="240" w:lineRule="auto"/>
        <w:jc w:val="both"/>
        <w:rPr>
          <w:rFonts w:cstheme="minorHAnsi"/>
          <w:sz w:val="24"/>
          <w:szCs w:val="24"/>
        </w:rPr>
      </w:pPr>
      <w:r w:rsidRPr="00BD08EA">
        <w:rPr>
          <w:rFonts w:eastAsia="Times New Roman" w:cstheme="minorHAnsi"/>
          <w:color w:val="333333"/>
          <w:sz w:val="24"/>
          <w:szCs w:val="24"/>
        </w:rPr>
        <w:t xml:space="preserve">Press Information Bureau, </w:t>
      </w:r>
      <w:r w:rsidR="0030461E" w:rsidRPr="00BD08EA">
        <w:rPr>
          <w:rFonts w:eastAsia="Times New Roman" w:cstheme="minorHAnsi"/>
          <w:color w:val="333333"/>
          <w:sz w:val="24"/>
          <w:szCs w:val="24"/>
        </w:rPr>
        <w:t>2</w:t>
      </w:r>
      <w:r w:rsidR="00BD08EA">
        <w:rPr>
          <w:rFonts w:eastAsia="Times New Roman" w:cstheme="minorHAnsi"/>
          <w:color w:val="333333"/>
          <w:sz w:val="24"/>
          <w:szCs w:val="24"/>
        </w:rPr>
        <w:t>5</w:t>
      </w:r>
      <w:r w:rsidR="004307FE" w:rsidRPr="00BD08EA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1D6D00" w:rsidRPr="00BD08EA">
        <w:rPr>
          <w:rFonts w:eastAsia="Times New Roman" w:cstheme="minorHAnsi"/>
          <w:color w:val="333333"/>
          <w:sz w:val="24"/>
          <w:szCs w:val="24"/>
        </w:rPr>
        <w:t>September</w:t>
      </w:r>
      <w:r w:rsidR="00D21CFC" w:rsidRPr="00BD08EA">
        <w:rPr>
          <w:rFonts w:eastAsia="Times New Roman" w:cstheme="minorHAnsi"/>
          <w:color w:val="333333"/>
          <w:sz w:val="24"/>
          <w:szCs w:val="24"/>
        </w:rPr>
        <w:t>,</w:t>
      </w:r>
      <w:r w:rsidRPr="00BD08EA">
        <w:rPr>
          <w:rFonts w:eastAsia="Times New Roman" w:cstheme="minorHAnsi"/>
          <w:color w:val="333333"/>
          <w:sz w:val="24"/>
          <w:szCs w:val="24"/>
        </w:rPr>
        <w:t xml:space="preserve"> 2020</w:t>
      </w:r>
      <w:r w:rsidR="005D10A3" w:rsidRPr="00BD08EA">
        <w:rPr>
          <w:rFonts w:eastAsia="Times New Roman" w:cstheme="minorHAnsi"/>
          <w:color w:val="333333"/>
          <w:sz w:val="24"/>
          <w:szCs w:val="24"/>
        </w:rPr>
        <w:t xml:space="preserve"> </w:t>
      </w:r>
    </w:p>
    <w:sectPr w:rsidR="001B350F" w:rsidRPr="00BD08EA" w:rsidSect="00B338D9">
      <w:pgSz w:w="12240" w:h="15840"/>
      <w:pgMar w:top="1276" w:right="1041" w:bottom="993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2A18"/>
    <w:multiLevelType w:val="multilevel"/>
    <w:tmpl w:val="29E23B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56286"/>
    <w:multiLevelType w:val="multilevel"/>
    <w:tmpl w:val="06B0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A28D4"/>
    <w:multiLevelType w:val="multilevel"/>
    <w:tmpl w:val="F38497E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54864"/>
    <w:multiLevelType w:val="multilevel"/>
    <w:tmpl w:val="E202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7A0F6D"/>
    <w:multiLevelType w:val="multilevel"/>
    <w:tmpl w:val="06AA02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28166A5"/>
    <w:multiLevelType w:val="multilevel"/>
    <w:tmpl w:val="43A0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6520B4"/>
    <w:multiLevelType w:val="multilevel"/>
    <w:tmpl w:val="C7FCB7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F25B08"/>
    <w:multiLevelType w:val="multilevel"/>
    <w:tmpl w:val="16DA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050E60"/>
    <w:multiLevelType w:val="multilevel"/>
    <w:tmpl w:val="3C46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CE1C06"/>
    <w:multiLevelType w:val="multilevel"/>
    <w:tmpl w:val="7676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B92FB4"/>
    <w:multiLevelType w:val="multilevel"/>
    <w:tmpl w:val="7314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3529F"/>
    <w:multiLevelType w:val="multilevel"/>
    <w:tmpl w:val="A706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1A69C3"/>
    <w:multiLevelType w:val="multilevel"/>
    <w:tmpl w:val="5CD2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276950"/>
    <w:multiLevelType w:val="multilevel"/>
    <w:tmpl w:val="E048CC2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8567E0"/>
    <w:multiLevelType w:val="multilevel"/>
    <w:tmpl w:val="8A4E5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E93477"/>
    <w:multiLevelType w:val="multilevel"/>
    <w:tmpl w:val="EECE1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3B437B"/>
    <w:multiLevelType w:val="multilevel"/>
    <w:tmpl w:val="03B8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0B0B58"/>
    <w:multiLevelType w:val="multilevel"/>
    <w:tmpl w:val="D97E68C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8248CC"/>
    <w:multiLevelType w:val="multilevel"/>
    <w:tmpl w:val="E414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73432A"/>
    <w:multiLevelType w:val="multilevel"/>
    <w:tmpl w:val="DBE2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8"/>
  </w:num>
  <w:num w:numId="5">
    <w:abstractNumId w:val="17"/>
  </w:num>
  <w:num w:numId="6">
    <w:abstractNumId w:val="0"/>
  </w:num>
  <w:num w:numId="7">
    <w:abstractNumId w:val="13"/>
  </w:num>
  <w:num w:numId="8">
    <w:abstractNumId w:val="9"/>
  </w:num>
  <w:num w:numId="9">
    <w:abstractNumId w:val="2"/>
  </w:num>
  <w:num w:numId="10">
    <w:abstractNumId w:val="4"/>
  </w:num>
  <w:num w:numId="11">
    <w:abstractNumId w:val="19"/>
  </w:num>
  <w:num w:numId="12">
    <w:abstractNumId w:val="10"/>
  </w:num>
  <w:num w:numId="13">
    <w:abstractNumId w:val="5"/>
  </w:num>
  <w:num w:numId="14">
    <w:abstractNumId w:val="8"/>
  </w:num>
  <w:num w:numId="15">
    <w:abstractNumId w:val="3"/>
  </w:num>
  <w:num w:numId="16">
    <w:abstractNumId w:val="16"/>
  </w:num>
  <w:num w:numId="17">
    <w:abstractNumId w:val="7"/>
  </w:num>
  <w:num w:numId="18">
    <w:abstractNumId w:val="15"/>
  </w:num>
  <w:num w:numId="19">
    <w:abstractNumId w:val="11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50F"/>
    <w:rsid w:val="00002F2E"/>
    <w:rsid w:val="00017052"/>
    <w:rsid w:val="00021429"/>
    <w:rsid w:val="00056786"/>
    <w:rsid w:val="00064D8F"/>
    <w:rsid w:val="000659B7"/>
    <w:rsid w:val="00084A12"/>
    <w:rsid w:val="00090364"/>
    <w:rsid w:val="00094790"/>
    <w:rsid w:val="000A1C61"/>
    <w:rsid w:val="000A3E74"/>
    <w:rsid w:val="000F7F31"/>
    <w:rsid w:val="001168B2"/>
    <w:rsid w:val="00120818"/>
    <w:rsid w:val="00122A18"/>
    <w:rsid w:val="00122D73"/>
    <w:rsid w:val="00123203"/>
    <w:rsid w:val="00135790"/>
    <w:rsid w:val="00155F32"/>
    <w:rsid w:val="001569D4"/>
    <w:rsid w:val="001A132B"/>
    <w:rsid w:val="001A7959"/>
    <w:rsid w:val="001B350F"/>
    <w:rsid w:val="001C1CB2"/>
    <w:rsid w:val="001D3ECE"/>
    <w:rsid w:val="001D6D00"/>
    <w:rsid w:val="001F6F5A"/>
    <w:rsid w:val="00214619"/>
    <w:rsid w:val="00214D62"/>
    <w:rsid w:val="002272FF"/>
    <w:rsid w:val="002277D5"/>
    <w:rsid w:val="002408BE"/>
    <w:rsid w:val="00240CD4"/>
    <w:rsid w:val="00244281"/>
    <w:rsid w:val="0025181C"/>
    <w:rsid w:val="00251A24"/>
    <w:rsid w:val="0025415C"/>
    <w:rsid w:val="0026477B"/>
    <w:rsid w:val="00267A1E"/>
    <w:rsid w:val="002829B4"/>
    <w:rsid w:val="002850A0"/>
    <w:rsid w:val="002911FF"/>
    <w:rsid w:val="002A2541"/>
    <w:rsid w:val="002C6809"/>
    <w:rsid w:val="002C6C8E"/>
    <w:rsid w:val="002D2F21"/>
    <w:rsid w:val="002D34ED"/>
    <w:rsid w:val="002E7CFC"/>
    <w:rsid w:val="002F4BE6"/>
    <w:rsid w:val="002F552F"/>
    <w:rsid w:val="0030461E"/>
    <w:rsid w:val="00312C19"/>
    <w:rsid w:val="00323A4C"/>
    <w:rsid w:val="00337FC4"/>
    <w:rsid w:val="00344C1F"/>
    <w:rsid w:val="00347352"/>
    <w:rsid w:val="00363210"/>
    <w:rsid w:val="00364F23"/>
    <w:rsid w:val="0037362E"/>
    <w:rsid w:val="00374A12"/>
    <w:rsid w:val="0038574B"/>
    <w:rsid w:val="003941BB"/>
    <w:rsid w:val="003965F6"/>
    <w:rsid w:val="003B4146"/>
    <w:rsid w:val="003B4181"/>
    <w:rsid w:val="003B45C8"/>
    <w:rsid w:val="003B7BA5"/>
    <w:rsid w:val="003D1540"/>
    <w:rsid w:val="003D3242"/>
    <w:rsid w:val="003F2956"/>
    <w:rsid w:val="003F6035"/>
    <w:rsid w:val="00421266"/>
    <w:rsid w:val="004307FE"/>
    <w:rsid w:val="00431266"/>
    <w:rsid w:val="00441011"/>
    <w:rsid w:val="00451D8C"/>
    <w:rsid w:val="00455202"/>
    <w:rsid w:val="004652A7"/>
    <w:rsid w:val="00484AAD"/>
    <w:rsid w:val="00492977"/>
    <w:rsid w:val="004B63B0"/>
    <w:rsid w:val="004E025D"/>
    <w:rsid w:val="004E2C16"/>
    <w:rsid w:val="004F736D"/>
    <w:rsid w:val="00522516"/>
    <w:rsid w:val="005279E5"/>
    <w:rsid w:val="005317C7"/>
    <w:rsid w:val="005478E1"/>
    <w:rsid w:val="00553904"/>
    <w:rsid w:val="00557263"/>
    <w:rsid w:val="005634F6"/>
    <w:rsid w:val="005643FC"/>
    <w:rsid w:val="00572059"/>
    <w:rsid w:val="0058000C"/>
    <w:rsid w:val="005912C2"/>
    <w:rsid w:val="005C3663"/>
    <w:rsid w:val="005C4078"/>
    <w:rsid w:val="005C5902"/>
    <w:rsid w:val="005D10A3"/>
    <w:rsid w:val="005E0D8F"/>
    <w:rsid w:val="005E5425"/>
    <w:rsid w:val="0060196F"/>
    <w:rsid w:val="00606F12"/>
    <w:rsid w:val="00606F9A"/>
    <w:rsid w:val="006108B6"/>
    <w:rsid w:val="006208DC"/>
    <w:rsid w:val="00625B7A"/>
    <w:rsid w:val="006360E7"/>
    <w:rsid w:val="00637CF5"/>
    <w:rsid w:val="00641BB4"/>
    <w:rsid w:val="006534E1"/>
    <w:rsid w:val="006607AF"/>
    <w:rsid w:val="006609F9"/>
    <w:rsid w:val="00681FF5"/>
    <w:rsid w:val="006916E6"/>
    <w:rsid w:val="006A7A65"/>
    <w:rsid w:val="006D547F"/>
    <w:rsid w:val="006E2D4C"/>
    <w:rsid w:val="00704FE6"/>
    <w:rsid w:val="00706AB8"/>
    <w:rsid w:val="0072224E"/>
    <w:rsid w:val="00736242"/>
    <w:rsid w:val="007749FD"/>
    <w:rsid w:val="00787800"/>
    <w:rsid w:val="007B386B"/>
    <w:rsid w:val="007C52B8"/>
    <w:rsid w:val="007E5BBA"/>
    <w:rsid w:val="007F2A4F"/>
    <w:rsid w:val="008169D8"/>
    <w:rsid w:val="008368C6"/>
    <w:rsid w:val="00850331"/>
    <w:rsid w:val="00860012"/>
    <w:rsid w:val="00863666"/>
    <w:rsid w:val="008A308A"/>
    <w:rsid w:val="008B4B11"/>
    <w:rsid w:val="008C6742"/>
    <w:rsid w:val="008C685B"/>
    <w:rsid w:val="008D1AFE"/>
    <w:rsid w:val="008D2188"/>
    <w:rsid w:val="008E6279"/>
    <w:rsid w:val="00903E51"/>
    <w:rsid w:val="00924006"/>
    <w:rsid w:val="00936EAF"/>
    <w:rsid w:val="00947B38"/>
    <w:rsid w:val="009501B3"/>
    <w:rsid w:val="009671C0"/>
    <w:rsid w:val="00977668"/>
    <w:rsid w:val="00980D64"/>
    <w:rsid w:val="00983770"/>
    <w:rsid w:val="00986EEA"/>
    <w:rsid w:val="00993431"/>
    <w:rsid w:val="00995D38"/>
    <w:rsid w:val="009A248F"/>
    <w:rsid w:val="009B19B9"/>
    <w:rsid w:val="009C1711"/>
    <w:rsid w:val="009C497B"/>
    <w:rsid w:val="009C7F54"/>
    <w:rsid w:val="009E15C9"/>
    <w:rsid w:val="009F1BD0"/>
    <w:rsid w:val="00A02185"/>
    <w:rsid w:val="00A134CD"/>
    <w:rsid w:val="00A14FCC"/>
    <w:rsid w:val="00A4738B"/>
    <w:rsid w:val="00A54D86"/>
    <w:rsid w:val="00A619F0"/>
    <w:rsid w:val="00A6319E"/>
    <w:rsid w:val="00A6760A"/>
    <w:rsid w:val="00A73F44"/>
    <w:rsid w:val="00A84494"/>
    <w:rsid w:val="00A95895"/>
    <w:rsid w:val="00A9689F"/>
    <w:rsid w:val="00AC0A09"/>
    <w:rsid w:val="00AC165C"/>
    <w:rsid w:val="00AC58FE"/>
    <w:rsid w:val="00AD5C54"/>
    <w:rsid w:val="00AD7DC3"/>
    <w:rsid w:val="00AE17A3"/>
    <w:rsid w:val="00AE364A"/>
    <w:rsid w:val="00AF0CCA"/>
    <w:rsid w:val="00AF21E7"/>
    <w:rsid w:val="00B026D8"/>
    <w:rsid w:val="00B06BB2"/>
    <w:rsid w:val="00B07804"/>
    <w:rsid w:val="00B16A61"/>
    <w:rsid w:val="00B20382"/>
    <w:rsid w:val="00B33669"/>
    <w:rsid w:val="00B338D9"/>
    <w:rsid w:val="00B45C1A"/>
    <w:rsid w:val="00B515A8"/>
    <w:rsid w:val="00B62121"/>
    <w:rsid w:val="00B634D4"/>
    <w:rsid w:val="00B73E1F"/>
    <w:rsid w:val="00B75556"/>
    <w:rsid w:val="00B86592"/>
    <w:rsid w:val="00B900CB"/>
    <w:rsid w:val="00BA3F4D"/>
    <w:rsid w:val="00BC6680"/>
    <w:rsid w:val="00BD0762"/>
    <w:rsid w:val="00BD08EA"/>
    <w:rsid w:val="00BE65CB"/>
    <w:rsid w:val="00BF3A60"/>
    <w:rsid w:val="00BF6C1E"/>
    <w:rsid w:val="00C0194C"/>
    <w:rsid w:val="00C266C7"/>
    <w:rsid w:val="00C30192"/>
    <w:rsid w:val="00C50CD3"/>
    <w:rsid w:val="00C54B60"/>
    <w:rsid w:val="00C61119"/>
    <w:rsid w:val="00C61AAE"/>
    <w:rsid w:val="00C63EB1"/>
    <w:rsid w:val="00C80283"/>
    <w:rsid w:val="00C813F1"/>
    <w:rsid w:val="00CA12F6"/>
    <w:rsid w:val="00CA16CF"/>
    <w:rsid w:val="00CA6C7A"/>
    <w:rsid w:val="00CA7002"/>
    <w:rsid w:val="00CB7146"/>
    <w:rsid w:val="00CC747B"/>
    <w:rsid w:val="00CD2D1A"/>
    <w:rsid w:val="00CD55FA"/>
    <w:rsid w:val="00CE14CD"/>
    <w:rsid w:val="00CF1BFF"/>
    <w:rsid w:val="00CF5CBC"/>
    <w:rsid w:val="00CF7D68"/>
    <w:rsid w:val="00D03D27"/>
    <w:rsid w:val="00D1043C"/>
    <w:rsid w:val="00D21CFC"/>
    <w:rsid w:val="00D30959"/>
    <w:rsid w:val="00D40A2F"/>
    <w:rsid w:val="00D41FE2"/>
    <w:rsid w:val="00D5283E"/>
    <w:rsid w:val="00D650BA"/>
    <w:rsid w:val="00D774BA"/>
    <w:rsid w:val="00DA3985"/>
    <w:rsid w:val="00DB41FE"/>
    <w:rsid w:val="00DB4437"/>
    <w:rsid w:val="00DD3D1C"/>
    <w:rsid w:val="00DF0925"/>
    <w:rsid w:val="00DF5BC2"/>
    <w:rsid w:val="00E07E33"/>
    <w:rsid w:val="00E23283"/>
    <w:rsid w:val="00E26AF3"/>
    <w:rsid w:val="00E43BBA"/>
    <w:rsid w:val="00E4782E"/>
    <w:rsid w:val="00E5072B"/>
    <w:rsid w:val="00E605BD"/>
    <w:rsid w:val="00E612C0"/>
    <w:rsid w:val="00E70605"/>
    <w:rsid w:val="00E74E49"/>
    <w:rsid w:val="00E75876"/>
    <w:rsid w:val="00EA2E9A"/>
    <w:rsid w:val="00EB0A29"/>
    <w:rsid w:val="00EB238D"/>
    <w:rsid w:val="00EC541F"/>
    <w:rsid w:val="00EC6620"/>
    <w:rsid w:val="00ED6247"/>
    <w:rsid w:val="00EF50D5"/>
    <w:rsid w:val="00EF5A26"/>
    <w:rsid w:val="00F0786B"/>
    <w:rsid w:val="00F216CB"/>
    <w:rsid w:val="00F21C88"/>
    <w:rsid w:val="00F27A47"/>
    <w:rsid w:val="00F3286E"/>
    <w:rsid w:val="00F37DB5"/>
    <w:rsid w:val="00F40284"/>
    <w:rsid w:val="00F47274"/>
    <w:rsid w:val="00F57D1F"/>
    <w:rsid w:val="00F6012C"/>
    <w:rsid w:val="00F641B6"/>
    <w:rsid w:val="00F7404C"/>
    <w:rsid w:val="00F81DAA"/>
    <w:rsid w:val="00F85BB6"/>
    <w:rsid w:val="00F90CCB"/>
    <w:rsid w:val="00F92400"/>
    <w:rsid w:val="00F9321B"/>
    <w:rsid w:val="00FA2552"/>
    <w:rsid w:val="00FA692D"/>
    <w:rsid w:val="00FA7EAE"/>
    <w:rsid w:val="00FB65AB"/>
    <w:rsid w:val="00FF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11"/>
  </w:style>
  <w:style w:type="paragraph" w:styleId="Heading1">
    <w:name w:val="heading 1"/>
    <w:basedOn w:val="Normal"/>
    <w:next w:val="Normal"/>
    <w:link w:val="Heading1Char"/>
    <w:uiPriority w:val="9"/>
    <w:qFormat/>
    <w:rsid w:val="008D2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B3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6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35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350F"/>
    <w:rPr>
      <w:b/>
      <w:bCs/>
    </w:rPr>
  </w:style>
  <w:style w:type="character" w:styleId="Emphasis">
    <w:name w:val="Emphasis"/>
    <w:basedOn w:val="DefaultParagraphFont"/>
    <w:uiPriority w:val="20"/>
    <w:qFormat/>
    <w:rsid w:val="001B35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8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67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2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14D6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E36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F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77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aitali@jncasr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CE09-A6FB-4346-90C0-11185514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rachit</dc:creator>
  <cp:lastModifiedBy>Gandhi PC</cp:lastModifiedBy>
  <cp:revision>2</cp:revision>
  <dcterms:created xsi:type="dcterms:W3CDTF">2020-09-30T13:02:00Z</dcterms:created>
  <dcterms:modified xsi:type="dcterms:W3CDTF">2020-09-30T13:02:00Z</dcterms:modified>
</cp:coreProperties>
</file>