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3E" w:rsidRPr="00BC503E" w:rsidRDefault="00BC503E" w:rsidP="00BC503E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BC503E">
        <w:rPr>
          <w:rFonts w:cstheme="minorHAnsi"/>
          <w:b/>
          <w:color w:val="1F3864" w:themeColor="accent1" w:themeShade="80"/>
          <w:sz w:val="24"/>
          <w:szCs w:val="24"/>
        </w:rPr>
        <w:t>Facilitating Research and Innovation: Establishment of 4 COVID-19 Bio Banks by the Department of Biotechnology</w:t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b/>
          <w:bCs/>
          <w:noProof/>
          <w:color w:val="333333"/>
          <w:sz w:val="19"/>
          <w:szCs w:val="19"/>
        </w:rPr>
        <w:drawing>
          <wp:inline distT="0" distB="0" distL="0" distR="0">
            <wp:extent cx="5676900" cy="716280"/>
            <wp:effectExtent l="0" t="0" r="0" b="0"/>
            <wp:docPr id="1" name="Picture 1" descr="http://164.100.117.97/WriteReadData/userfiles/image/image003NXP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3NXPW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20" w:afterAutospacing="0"/>
        <w:ind w:left="18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BC503E">
        <w:rPr>
          <w:rFonts w:asciiTheme="minorHAnsi" w:hAnsiTheme="minorHAnsi" w:cstheme="minorHAnsi"/>
          <w:color w:val="000000" w:themeColor="text1"/>
        </w:rPr>
        <w:t xml:space="preserve">For the mitigation of COVID-19 pandemic, R&amp;D efforts are directed at the development of vaccines, diagnostics and therapeutics. The specimens collected from COVID-19 positive subjects can be a valuable resource for the R&amp;D efforts. NITI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Aayog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has recently issued guidelines for sharing of bio specimens and data for research related to COVID-19. As per the directives of the Cabinet Secretary, the Indian Council of Medical Research (ICMR) has notified 16 bio-repositories for collecting, storing and maintaining clinical samples (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oropharyngeal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/ nasopharyngeal swabs,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broncheoalveolar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lavage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>, sputum, blood, urine and stool) of COVID-19 patients.</w:t>
      </w:r>
    </w:p>
    <w:p w:rsidR="00BC503E" w:rsidRP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BC503E">
        <w:rPr>
          <w:rFonts w:asciiTheme="minorHAnsi" w:hAnsiTheme="minorHAnsi" w:cstheme="minorHAnsi"/>
          <w:color w:val="000000" w:themeColor="text1"/>
        </w:rPr>
        <w:t>The enlistment of 16 Bio Repositories are as follows: ICMR – 9, DBT – 4 and CSIR – 3. The four Bio Repositories under the purview of the Department of Biotechnology are, NCR-Biotech Science Cluster (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) THSTI, Faridabad – Clinical samples (ii) RCB Faridabad –Viral samples, Institute of Life Sciences, Bhubaneswar,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InStem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>, Bangalore</w:t>
      </w:r>
      <w:proofErr w:type="gramStart"/>
      <w:r w:rsidRPr="00BC503E">
        <w:rPr>
          <w:rFonts w:asciiTheme="minorHAnsi" w:hAnsiTheme="minorHAnsi" w:cstheme="minorHAnsi"/>
          <w:color w:val="000000" w:themeColor="text1"/>
        </w:rPr>
        <w:t>  and</w:t>
      </w:r>
      <w:proofErr w:type="gramEnd"/>
      <w:r w:rsidRPr="00BC503E">
        <w:rPr>
          <w:rFonts w:asciiTheme="minorHAnsi" w:hAnsiTheme="minorHAnsi" w:cstheme="minorHAnsi"/>
          <w:color w:val="000000" w:themeColor="text1"/>
        </w:rPr>
        <w:t xml:space="preserve"> ILBS, New Delhi .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Oropharyngeal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/ nasopharyngeal swabs,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bronchoalveolar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lavage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>, sputum, blood, urine and stool of COVID19 patients will be collected and archived for future use to develop validated diagnostics, therapeutics, vaccines etc.</w:t>
      </w:r>
    </w:p>
    <w:p w:rsidR="00BC503E" w:rsidRP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BC503E">
        <w:rPr>
          <w:rFonts w:asciiTheme="minorHAnsi" w:hAnsiTheme="minorHAnsi" w:cstheme="minorHAnsi"/>
          <w:color w:val="000000" w:themeColor="text1"/>
        </w:rPr>
        <w:t>These designated facilities will develop uniform Standard Operating Procedures (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SoPs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) for sample collection, transportation,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aliquoting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, storage, and sharing. The role of bio-banks for COVID-19 samples would be development of a vaccine and treatments; guidance regarding handling, including nasopharyngeal swabs; and conditions under which the higher BSL-3 practices should be followed for example, when working with cultures of the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coronavirus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specimens. The Department of Biotechnology would be supporting these COVID-19 designated Bio-bank facilities through a well strategized future plan so that novel technological interventions can be developed in due course of time. These designated bio repositories will use the clinical samples for R&amp;D purpose in their respective Institutes.</w:t>
      </w:r>
    </w:p>
    <w:p w:rsidR="00BC503E" w:rsidRP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BC503E" w:rsidRP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BC503E">
        <w:rPr>
          <w:rFonts w:asciiTheme="minorHAnsi" w:hAnsiTheme="minorHAnsi" w:cstheme="minorHAnsi"/>
          <w:color w:val="000000" w:themeColor="text1"/>
        </w:rPr>
        <w:t xml:space="preserve">In addition, they are also authorized to share the samples with academia, industry and commercial entities involved in development of diagnostics, therapeutics, vaccines etc., after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scrutinising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the purpose of the request and ensuring benefit to the country. Sharing of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Biospecimens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both Clinical and Viral is going to be </w:t>
      </w:r>
      <w:proofErr w:type="gramStart"/>
      <w:r w:rsidRPr="00BC503E">
        <w:rPr>
          <w:rFonts w:asciiTheme="minorHAnsi" w:hAnsiTheme="minorHAnsi" w:cstheme="minorHAnsi"/>
          <w:color w:val="000000" w:themeColor="text1"/>
        </w:rPr>
        <w:t>key</w:t>
      </w:r>
      <w:proofErr w:type="gramEnd"/>
      <w:r w:rsidRPr="00BC503E">
        <w:rPr>
          <w:rFonts w:asciiTheme="minorHAnsi" w:hAnsiTheme="minorHAnsi" w:cstheme="minorHAnsi"/>
          <w:color w:val="000000" w:themeColor="text1"/>
        </w:rPr>
        <w:t xml:space="preserve"> for new technology and product development by our researchers, start-ups and industry, a critical step in our journey towards becoming an </w:t>
      </w:r>
      <w:proofErr w:type="spellStart"/>
      <w:r w:rsidRPr="00BC503E">
        <w:rPr>
          <w:rFonts w:asciiTheme="minorHAnsi" w:hAnsiTheme="minorHAnsi" w:cstheme="minorHAnsi"/>
          <w:color w:val="000000" w:themeColor="text1"/>
        </w:rPr>
        <w:t>Atmanirbhar</w:t>
      </w:r>
      <w:proofErr w:type="spellEnd"/>
      <w:r w:rsidRPr="00BC503E">
        <w:rPr>
          <w:rFonts w:asciiTheme="minorHAnsi" w:hAnsiTheme="minorHAnsi" w:cstheme="minorHAnsi"/>
          <w:color w:val="000000" w:themeColor="text1"/>
        </w:rPr>
        <w:t xml:space="preserve"> Bharat.</w:t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20" w:afterAutospacing="0"/>
        <w:ind w:left="18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AB172A"/>
        </w:rPr>
      </w:pPr>
      <w:r>
        <w:rPr>
          <w:noProof/>
          <w:color w:val="333333"/>
          <w:sz w:val="19"/>
          <w:szCs w:val="19"/>
          <w:shd w:val="clear" w:color="auto" w:fill="FFFFFF"/>
        </w:rPr>
        <w:lastRenderedPageBreak/>
        <w:drawing>
          <wp:inline distT="0" distB="0" distL="0" distR="0">
            <wp:extent cx="5974080" cy="1135380"/>
            <wp:effectExtent l="19050" t="0" r="7620" b="0"/>
            <wp:docPr id="2" name="Picture 2" descr="Text Box: For Further Information: Contact Communication Cell of DBT/BIRAC  @DBTIndia @BIRAC_2012www.dbtindia.gov.inwww.birac.nic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: For Further Information: Contact Communication Cell of DBT/BIRAC  @DBTIndia @BIRAC_2012www.dbtindia.gov.inwww.birac.nic.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3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AB172A"/>
        </w:rPr>
      </w:pPr>
    </w:p>
    <w:p w:rsidR="00BC503E" w:rsidRPr="0008036E" w:rsidRDefault="00BC503E" w:rsidP="00BC50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BC503E" w:rsidRPr="008A6576" w:rsidRDefault="00BC503E" w:rsidP="00BC503E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 xml:space="preserve">30 </w:t>
      </w:r>
      <w:r w:rsidRPr="0008036E">
        <w:rPr>
          <w:rFonts w:asciiTheme="minorHAnsi" w:hAnsiTheme="minorHAnsi" w:cstheme="minorHAnsi"/>
          <w:color w:val="000000" w:themeColor="text1"/>
        </w:rPr>
        <w:t>May, 2020</w:t>
      </w:r>
      <w:r w:rsidRPr="00BF4C01">
        <w:rPr>
          <w:rFonts w:asciiTheme="minorHAnsi" w:hAnsiTheme="minorHAnsi" w:cstheme="minorHAnsi"/>
          <w:color w:val="333333"/>
        </w:rPr>
        <w:t> </w:t>
      </w:r>
    </w:p>
    <w:p w:rsidR="004C786E" w:rsidRDefault="004C786E"/>
    <w:sectPr w:rsidR="004C786E" w:rsidSect="004C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03E"/>
    <w:rsid w:val="004C786E"/>
    <w:rsid w:val="00BC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6E"/>
  </w:style>
  <w:style w:type="paragraph" w:styleId="Heading2">
    <w:name w:val="heading 2"/>
    <w:basedOn w:val="Normal"/>
    <w:link w:val="Heading2Char"/>
    <w:uiPriority w:val="9"/>
    <w:qFormat/>
    <w:rsid w:val="00BC5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503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BC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C50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1</cp:revision>
  <dcterms:created xsi:type="dcterms:W3CDTF">2020-06-03T05:23:00Z</dcterms:created>
  <dcterms:modified xsi:type="dcterms:W3CDTF">2020-06-03T05:25:00Z</dcterms:modified>
</cp:coreProperties>
</file>