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66" w:rsidRPr="00122A18" w:rsidRDefault="00421266" w:rsidP="00CA6C7A">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421266">
        <w:rPr>
          <w:rFonts w:asciiTheme="minorHAnsi" w:hAnsiTheme="minorHAnsi" w:cstheme="minorHAnsi"/>
          <w:color w:val="365F91" w:themeColor="accent1" w:themeShade="BF"/>
          <w:sz w:val="24"/>
          <w:szCs w:val="24"/>
        </w:rPr>
        <w:t xml:space="preserve">“Biotechnology sector is recognized as the key driver for contributing to India's $ 5 Trillion economy target by 2024” -- Dr Harsh </w:t>
      </w:r>
      <w:proofErr w:type="spellStart"/>
      <w:r w:rsidRPr="00421266">
        <w:rPr>
          <w:rFonts w:asciiTheme="minorHAnsi" w:hAnsiTheme="minorHAnsi" w:cstheme="minorHAnsi"/>
          <w:color w:val="365F91" w:themeColor="accent1" w:themeShade="BF"/>
          <w:sz w:val="24"/>
          <w:szCs w:val="24"/>
        </w:rPr>
        <w:t>Vardhan</w:t>
      </w:r>
      <w:proofErr w:type="spellEnd"/>
      <w:r w:rsidRPr="00421266">
        <w:rPr>
          <w:rFonts w:asciiTheme="minorHAnsi" w:hAnsiTheme="minorHAnsi" w:cstheme="minorHAnsi"/>
          <w:color w:val="365F91" w:themeColor="accent1" w:themeShade="BF"/>
          <w:sz w:val="24"/>
          <w:szCs w:val="24"/>
        </w:rPr>
        <w:br/>
      </w:r>
      <w:r>
        <w:rPr>
          <w:rFonts w:ascii="inherit" w:hAnsi="inherit"/>
          <w:b w:val="0"/>
          <w:bCs w:val="0"/>
          <w:color w:val="333333"/>
        </w:rPr>
        <w:br/>
      </w:r>
      <w:r w:rsidRPr="00122A18">
        <w:rPr>
          <w:rFonts w:asciiTheme="minorHAnsi" w:hAnsiTheme="minorHAnsi" w:cstheme="minorHAnsi"/>
          <w:b w:val="0"/>
          <w:bCs w:val="0"/>
          <w:color w:val="333333"/>
          <w:sz w:val="24"/>
          <w:szCs w:val="24"/>
        </w:rPr>
        <w:t>“Biotechnology impacts each sector and the Biotechnology Sector in the country is growing rapidly.”</w:t>
      </w:r>
    </w:p>
    <w:p w:rsidR="00421266" w:rsidRPr="00122A18" w:rsidRDefault="00421266" w:rsidP="00421266">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p>
    <w:p w:rsidR="00421266" w:rsidRPr="00122A18" w:rsidRDefault="00421266" w:rsidP="00421266">
      <w:pPr>
        <w:pStyle w:val="NormalWeb"/>
        <w:shd w:val="clear" w:color="auto" w:fill="FFFFFF"/>
        <w:spacing w:before="0" w:beforeAutospacing="0" w:after="120" w:afterAutospacing="0"/>
        <w:jc w:val="both"/>
        <w:rPr>
          <w:rFonts w:asciiTheme="minorHAnsi" w:hAnsiTheme="minorHAnsi" w:cstheme="minorHAnsi"/>
          <w:color w:val="000000"/>
        </w:rPr>
      </w:pPr>
      <w:r w:rsidRPr="00122A18">
        <w:rPr>
          <w:rFonts w:asciiTheme="minorHAnsi" w:hAnsiTheme="minorHAnsi" w:cstheme="minorHAnsi"/>
          <w:color w:val="000000"/>
        </w:rPr>
        <w:t>Biotechnology Industry Research Assistance Council (BIRAC) has been established by Government of India as a Public Sector Enterprise under Department of Biotechnology (DBT) in March, 2012 to foster and nurture the Startup Ecosystem and promoting Academia –Industry Collaboration in Biotechnology.</w:t>
      </w:r>
    </w:p>
    <w:p w:rsidR="00421266" w:rsidRPr="00122A18"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p>
    <w:p w:rsidR="00421266" w:rsidRDefault="00421266" w:rsidP="00421266">
      <w:pPr>
        <w:pStyle w:val="NormalWeb"/>
        <w:shd w:val="clear" w:color="auto" w:fill="FFFFFF"/>
        <w:spacing w:before="0" w:beforeAutospacing="0" w:after="120" w:afterAutospacing="0"/>
        <w:jc w:val="both"/>
        <w:rPr>
          <w:rStyle w:val="Strong"/>
          <w:rFonts w:asciiTheme="minorHAnsi" w:hAnsiTheme="minorHAnsi" w:cstheme="minorHAnsi"/>
          <w:color w:val="000000"/>
        </w:rPr>
      </w:pPr>
      <w:r w:rsidRPr="00122A18">
        <w:rPr>
          <w:rFonts w:asciiTheme="minorHAnsi" w:hAnsiTheme="minorHAnsi" w:cstheme="minorHAnsi"/>
          <w:color w:val="000000"/>
        </w:rPr>
        <w:t>BIRAC, through its various funding schemes, supports all stages of product development right from proof-of-concept demonstration to product commercialization. The schemes support entrepreneurs, start-ups, Companies and academic institutions, to work on research ideas that have translational potential. The details of Programs undertaken and their output during the last three years and the current year including funds allocated may please be seen at </w:t>
      </w:r>
      <w:r w:rsidRPr="00122A18">
        <w:rPr>
          <w:rStyle w:val="Strong"/>
          <w:rFonts w:asciiTheme="minorHAnsi" w:hAnsiTheme="minorHAnsi" w:cstheme="minorHAnsi"/>
          <w:color w:val="000000"/>
        </w:rPr>
        <w:t>Annexure – A.</w:t>
      </w:r>
    </w:p>
    <w:p w:rsidR="00122A18" w:rsidRPr="00122A18" w:rsidRDefault="00122A18" w:rsidP="00421266">
      <w:pPr>
        <w:pStyle w:val="NormalWeb"/>
        <w:shd w:val="clear" w:color="auto" w:fill="FFFFFF"/>
        <w:spacing w:before="0" w:beforeAutospacing="0" w:after="120" w:afterAutospacing="0"/>
        <w:jc w:val="both"/>
        <w:rPr>
          <w:rFonts w:asciiTheme="minorHAnsi" w:hAnsiTheme="minorHAnsi" w:cstheme="minorHAnsi"/>
          <w:color w:val="333333"/>
        </w:rPr>
      </w:pPr>
    </w:p>
    <w:p w:rsidR="00421266" w:rsidRDefault="00421266" w:rsidP="00421266">
      <w:pPr>
        <w:pStyle w:val="NormalWeb"/>
        <w:shd w:val="clear" w:color="auto" w:fill="FFFFFF"/>
        <w:spacing w:before="0" w:beforeAutospacing="0" w:after="120" w:afterAutospacing="0"/>
        <w:jc w:val="both"/>
        <w:rPr>
          <w:rFonts w:asciiTheme="minorHAnsi" w:hAnsiTheme="minorHAnsi" w:cstheme="minorHAnsi"/>
          <w:color w:val="000000"/>
        </w:rPr>
      </w:pPr>
      <w:r w:rsidRPr="00122A18">
        <w:rPr>
          <w:rFonts w:asciiTheme="minorHAnsi" w:hAnsiTheme="minorHAnsi" w:cstheme="minorHAnsi"/>
          <w:color w:val="000000"/>
        </w:rPr>
        <w:t>The Department of Biotechnology has a major focus on promotion of Biotechnology through Research &amp; Development and also in terms of Human resource and Infrastructure Development. The key areas of support are Research and Development, Demonstration, Product Development and Commercialization, Capacity building through Human Resource Development and Infrastructure strengthening.</w:t>
      </w:r>
    </w:p>
    <w:p w:rsidR="00122A18" w:rsidRPr="00122A18" w:rsidRDefault="00122A18" w:rsidP="00421266">
      <w:pPr>
        <w:pStyle w:val="NormalWeb"/>
        <w:shd w:val="clear" w:color="auto" w:fill="FFFFFF"/>
        <w:spacing w:before="0" w:beforeAutospacing="0" w:after="120" w:afterAutospacing="0"/>
        <w:jc w:val="both"/>
        <w:rPr>
          <w:rFonts w:asciiTheme="minorHAnsi" w:hAnsiTheme="minorHAnsi" w:cstheme="minorHAnsi"/>
          <w:color w:val="333333"/>
        </w:rPr>
      </w:pPr>
    </w:p>
    <w:p w:rsidR="00421266" w:rsidRDefault="00421266" w:rsidP="00421266">
      <w:pPr>
        <w:pStyle w:val="NormalWeb"/>
        <w:shd w:val="clear" w:color="auto" w:fill="FFFFFF"/>
        <w:spacing w:before="0" w:beforeAutospacing="0" w:after="120" w:afterAutospacing="0"/>
        <w:jc w:val="both"/>
        <w:rPr>
          <w:rStyle w:val="Strong"/>
          <w:rFonts w:asciiTheme="minorHAnsi" w:hAnsiTheme="minorHAnsi" w:cstheme="minorHAnsi"/>
          <w:color w:val="000000"/>
        </w:rPr>
      </w:pPr>
      <w:r w:rsidRPr="00122A18">
        <w:rPr>
          <w:rFonts w:asciiTheme="minorHAnsi" w:hAnsiTheme="minorHAnsi" w:cstheme="minorHAnsi"/>
          <w:color w:val="000000"/>
        </w:rPr>
        <w:t xml:space="preserve">DBT’s major focus is on building Centre of Excellence in different areas. DBT also has 16 Autonomous Institutions under its administrative control with focus on promoting and strengthening Biotechnology through national and international partnerships. The key activities supported under Human Resource and Infrastructure </w:t>
      </w:r>
      <w:proofErr w:type="gramStart"/>
      <w:r w:rsidRPr="00122A18">
        <w:rPr>
          <w:rFonts w:asciiTheme="minorHAnsi" w:hAnsiTheme="minorHAnsi" w:cstheme="minorHAnsi"/>
          <w:color w:val="000000"/>
        </w:rPr>
        <w:t>are</w:t>
      </w:r>
      <w:proofErr w:type="gramEnd"/>
      <w:r w:rsidRPr="00122A18">
        <w:rPr>
          <w:rFonts w:asciiTheme="minorHAnsi" w:hAnsiTheme="minorHAnsi" w:cstheme="minorHAnsi"/>
          <w:color w:val="000000"/>
        </w:rPr>
        <w:t xml:space="preserve"> enlisted below</w:t>
      </w:r>
      <w:r w:rsidRPr="00122A18">
        <w:rPr>
          <w:rStyle w:val="Strong"/>
          <w:rFonts w:asciiTheme="minorHAnsi" w:hAnsiTheme="minorHAnsi" w:cstheme="minorHAnsi"/>
          <w:color w:val="000000"/>
        </w:rPr>
        <w:t>.</w:t>
      </w:r>
    </w:p>
    <w:p w:rsidR="00122A18" w:rsidRPr="00122A18" w:rsidRDefault="00122A18" w:rsidP="00421266">
      <w:pPr>
        <w:pStyle w:val="NormalWeb"/>
        <w:shd w:val="clear" w:color="auto" w:fill="FFFFFF"/>
        <w:spacing w:before="0" w:beforeAutospacing="0" w:after="120" w:afterAutospacing="0"/>
        <w:jc w:val="both"/>
        <w:rPr>
          <w:rFonts w:asciiTheme="minorHAnsi" w:hAnsiTheme="minorHAnsi" w:cstheme="minorHAnsi"/>
          <w:color w:val="333333"/>
        </w:rPr>
      </w:pPr>
    </w:p>
    <w:p w:rsidR="00421266" w:rsidRDefault="00421266" w:rsidP="00421266">
      <w:pPr>
        <w:pStyle w:val="NormalWeb"/>
        <w:shd w:val="clear" w:color="auto" w:fill="FFFFFF"/>
        <w:spacing w:before="0" w:beforeAutospacing="0" w:after="120" w:afterAutospacing="0"/>
        <w:jc w:val="both"/>
        <w:rPr>
          <w:rFonts w:asciiTheme="minorHAnsi" w:hAnsiTheme="minorHAnsi" w:cstheme="minorHAnsi"/>
          <w:color w:val="000000"/>
        </w:rPr>
      </w:pPr>
      <w:r w:rsidRPr="00122A18">
        <w:rPr>
          <w:rFonts w:asciiTheme="minorHAnsi" w:hAnsiTheme="minorHAnsi" w:cstheme="minorHAnsi"/>
          <w:color w:val="000000"/>
        </w:rPr>
        <w:t xml:space="preserve">Biotechnology sector is recognized as the key driver for contributing to India's $ 5 Trillion economy target by 2024. The biotechnology sector, mainly due to its multi-disciplinary approach holds the potential to provide an array of solutions for challenges in Health, Agriculture, Environment, Energy and Industrial Processes. This includes innovative solutions for various societal challenges, use of </w:t>
      </w:r>
      <w:proofErr w:type="spellStart"/>
      <w:r w:rsidRPr="00122A18">
        <w:rPr>
          <w:rFonts w:asciiTheme="minorHAnsi" w:hAnsiTheme="minorHAnsi" w:cstheme="minorHAnsi"/>
          <w:color w:val="000000"/>
        </w:rPr>
        <w:t>biosimilars</w:t>
      </w:r>
      <w:proofErr w:type="spellEnd"/>
      <w:r w:rsidRPr="00122A18">
        <w:rPr>
          <w:rFonts w:asciiTheme="minorHAnsi" w:hAnsiTheme="minorHAnsi" w:cstheme="minorHAnsi"/>
          <w:color w:val="000000"/>
        </w:rPr>
        <w:t xml:space="preserve"> for helping millions of people around the world in battling life-threatening medical issues, development and manufacture of vaccines for nearly 60% of Global immunization.</w:t>
      </w:r>
    </w:p>
    <w:p w:rsidR="00122A18" w:rsidRPr="00122A18" w:rsidRDefault="00122A18" w:rsidP="00421266">
      <w:pPr>
        <w:pStyle w:val="NormalWeb"/>
        <w:shd w:val="clear" w:color="auto" w:fill="FFFFFF"/>
        <w:spacing w:before="0" w:beforeAutospacing="0" w:after="120" w:afterAutospacing="0"/>
        <w:jc w:val="both"/>
        <w:rPr>
          <w:rFonts w:asciiTheme="minorHAnsi" w:hAnsiTheme="minorHAnsi" w:cstheme="minorHAnsi"/>
          <w:color w:val="333333"/>
        </w:rPr>
      </w:pPr>
    </w:p>
    <w:p w:rsidR="00421266" w:rsidRPr="00122A18"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122A18">
        <w:rPr>
          <w:rFonts w:asciiTheme="minorHAnsi" w:hAnsiTheme="minorHAnsi" w:cstheme="minorHAnsi"/>
          <w:color w:val="000000"/>
        </w:rPr>
        <w:t xml:space="preserve">Improved crop varieties for increased production and providing better yields to the farmers while reducing the dependence on heavy consumption of water and energy. Industrial biotechnology is being channeled to produce </w:t>
      </w:r>
      <w:proofErr w:type="spellStart"/>
      <w:r w:rsidRPr="00122A18">
        <w:rPr>
          <w:rFonts w:asciiTheme="minorHAnsi" w:hAnsiTheme="minorHAnsi" w:cstheme="minorHAnsi"/>
          <w:color w:val="000000"/>
        </w:rPr>
        <w:t>biofuels</w:t>
      </w:r>
      <w:proofErr w:type="spellEnd"/>
      <w:r w:rsidRPr="00122A18">
        <w:rPr>
          <w:rFonts w:asciiTheme="minorHAnsi" w:hAnsiTheme="minorHAnsi" w:cstheme="minorHAnsi"/>
          <w:color w:val="000000"/>
        </w:rPr>
        <w:t xml:space="preserve"> that can help in ensuring cleaner environment. Biotechnology impacts each sector and the Biotechnology Sector in the country is growing rapidly.</w:t>
      </w:r>
    </w:p>
    <w:p w:rsidR="00421266" w:rsidRDefault="00421266" w:rsidP="00421266">
      <w:pPr>
        <w:pStyle w:val="NormalWeb"/>
        <w:shd w:val="clear" w:color="auto" w:fill="FFFFFF"/>
        <w:spacing w:before="0" w:beforeAutospacing="0" w:after="120" w:afterAutospacing="0"/>
        <w:jc w:val="both"/>
        <w:rPr>
          <w:rFonts w:asciiTheme="minorHAnsi" w:hAnsiTheme="minorHAnsi" w:cstheme="minorHAnsi"/>
          <w:color w:val="000000"/>
        </w:rPr>
      </w:pPr>
      <w:r w:rsidRPr="00122A18">
        <w:rPr>
          <w:rFonts w:asciiTheme="minorHAnsi" w:hAnsiTheme="minorHAnsi" w:cstheme="minorHAnsi"/>
          <w:color w:val="000000"/>
        </w:rPr>
        <w:lastRenderedPageBreak/>
        <w:t>The Biotechnology research and development activities involving use of r-DNA technology and/or hazardous microorganism are being regulated in accordance with Rules for the manufacture, use, import, export &amp; storage of hazardous microorganisms, GE organisms or cells,1989 of the Environment Protection Act, 1986. The Review Committee on Genetic Manipulation (RCGM) established under the Department of Biotechnology, Ministry of Science and Technology to monitor the safety of on-going research projects and activities (including small scale field trials, import, export etc) involving genetically engineered organisms.</w:t>
      </w:r>
    </w:p>
    <w:p w:rsidR="00122A18" w:rsidRPr="00122A18" w:rsidRDefault="00122A18" w:rsidP="00421266">
      <w:pPr>
        <w:pStyle w:val="NormalWeb"/>
        <w:shd w:val="clear" w:color="auto" w:fill="FFFFFF"/>
        <w:spacing w:before="0" w:beforeAutospacing="0" w:after="120" w:afterAutospacing="0"/>
        <w:jc w:val="both"/>
        <w:rPr>
          <w:rFonts w:asciiTheme="minorHAnsi" w:hAnsiTheme="minorHAnsi" w:cstheme="minorHAnsi"/>
          <w:color w:val="333333"/>
        </w:rPr>
      </w:pPr>
    </w:p>
    <w:p w:rsidR="00421266" w:rsidRPr="00122A18"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122A18">
        <w:rPr>
          <w:rFonts w:asciiTheme="minorHAnsi" w:hAnsiTheme="minorHAnsi" w:cstheme="minorHAnsi"/>
          <w:color w:val="333333"/>
          <w:shd w:val="clear" w:color="auto" w:fill="FFFFFF"/>
        </w:rPr>
        <w:t>This information was given in a written reply by the </w:t>
      </w:r>
      <w:r w:rsidRPr="00122A18">
        <w:rPr>
          <w:rFonts w:asciiTheme="minorHAnsi" w:hAnsiTheme="minorHAnsi" w:cstheme="minorHAnsi"/>
          <w:color w:val="333333"/>
        </w:rPr>
        <w:t xml:space="preserve">Minister of Science and Technology, Earth Sciences, and Health &amp; Family Welfare, Dr Harsh </w:t>
      </w:r>
      <w:proofErr w:type="spellStart"/>
      <w:r w:rsidRPr="00122A18">
        <w:rPr>
          <w:rFonts w:asciiTheme="minorHAnsi" w:hAnsiTheme="minorHAnsi" w:cstheme="minorHAnsi"/>
          <w:color w:val="333333"/>
        </w:rPr>
        <w:t>Vardhan</w:t>
      </w:r>
      <w:proofErr w:type="spellEnd"/>
      <w:r w:rsidRPr="00122A18">
        <w:rPr>
          <w:rFonts w:asciiTheme="minorHAnsi" w:hAnsiTheme="minorHAnsi" w:cstheme="minorHAnsi"/>
          <w:color w:val="333333"/>
        </w:rPr>
        <w:t> </w:t>
      </w:r>
      <w:r w:rsidRPr="00122A18">
        <w:rPr>
          <w:rFonts w:asciiTheme="minorHAnsi" w:hAnsiTheme="minorHAnsi" w:cstheme="minorHAnsi"/>
          <w:color w:val="333333"/>
          <w:shd w:val="clear" w:color="auto" w:fill="FFFFFF"/>
        </w:rPr>
        <w:t xml:space="preserve">in </w:t>
      </w:r>
      <w:proofErr w:type="spellStart"/>
      <w:r w:rsidRPr="00122A18">
        <w:rPr>
          <w:rFonts w:asciiTheme="minorHAnsi" w:hAnsiTheme="minorHAnsi" w:cstheme="minorHAnsi"/>
          <w:color w:val="333333"/>
          <w:shd w:val="clear" w:color="auto" w:fill="FFFFFF"/>
        </w:rPr>
        <w:t>Lok</w:t>
      </w:r>
      <w:proofErr w:type="spellEnd"/>
      <w:r w:rsidRPr="00122A18">
        <w:rPr>
          <w:rFonts w:asciiTheme="minorHAnsi" w:hAnsiTheme="minorHAnsi" w:cstheme="minorHAnsi"/>
          <w:color w:val="333333"/>
          <w:shd w:val="clear" w:color="auto" w:fill="FFFFFF"/>
        </w:rPr>
        <w:t xml:space="preserve"> </w:t>
      </w:r>
      <w:proofErr w:type="spellStart"/>
      <w:r w:rsidRPr="00122A18">
        <w:rPr>
          <w:rFonts w:asciiTheme="minorHAnsi" w:hAnsiTheme="minorHAnsi" w:cstheme="minorHAnsi"/>
          <w:color w:val="333333"/>
          <w:shd w:val="clear" w:color="auto" w:fill="FFFFFF"/>
        </w:rPr>
        <w:t>Sabha</w:t>
      </w:r>
      <w:proofErr w:type="spellEnd"/>
      <w:r w:rsidRPr="00122A18">
        <w:rPr>
          <w:rFonts w:asciiTheme="minorHAnsi" w:hAnsiTheme="minorHAnsi" w:cstheme="minorHAnsi"/>
          <w:color w:val="333333"/>
          <w:shd w:val="clear" w:color="auto" w:fill="FFFFFF"/>
        </w:rPr>
        <w:t xml:space="preserve"> on September 23, 2020.</w:t>
      </w:r>
    </w:p>
    <w:p w:rsidR="00421266" w:rsidRPr="00122A18"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122A18">
        <w:rPr>
          <w:rFonts w:asciiTheme="minorHAnsi" w:hAnsiTheme="minorHAnsi" w:cstheme="minorHAnsi"/>
          <w:color w:val="333333"/>
        </w:rPr>
        <w:t>Details of Activities supported by BIRAC and outcomes during last 3 years:</w:t>
      </w:r>
    </w:p>
    <w:p w:rsidR="00421266" w:rsidRPr="00122A18" w:rsidRDefault="00421266" w:rsidP="00421266">
      <w:pPr>
        <w:pStyle w:val="Heading1"/>
        <w:shd w:val="clear" w:color="auto" w:fill="FFFFFF"/>
        <w:spacing w:before="240" w:after="120"/>
        <w:ind w:left="3991" w:right="1748"/>
        <w:jc w:val="both"/>
        <w:rPr>
          <w:rFonts w:asciiTheme="minorHAnsi" w:hAnsiTheme="minorHAnsi" w:cstheme="minorHAnsi"/>
          <w:bCs w:val="0"/>
          <w:color w:val="333333"/>
          <w:sz w:val="24"/>
          <w:szCs w:val="24"/>
        </w:rPr>
      </w:pPr>
      <w:r w:rsidRPr="00122A18">
        <w:rPr>
          <w:rFonts w:asciiTheme="minorHAnsi" w:hAnsiTheme="minorHAnsi" w:cstheme="minorHAnsi"/>
          <w:bCs w:val="0"/>
          <w:color w:val="333333"/>
          <w:sz w:val="24"/>
          <w:szCs w:val="24"/>
          <w:u w:val="single"/>
        </w:rPr>
        <w:t>Annexure A</w:t>
      </w:r>
    </w:p>
    <w:tbl>
      <w:tblPr>
        <w:tblW w:w="8045"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01"/>
        <w:gridCol w:w="1994"/>
        <w:gridCol w:w="1899"/>
        <w:gridCol w:w="1214"/>
        <w:gridCol w:w="2706"/>
      </w:tblGrid>
      <w:tr w:rsidR="00421266" w:rsidRPr="00421266" w:rsidTr="00421266">
        <w:trPr>
          <w:jc w:val="center"/>
        </w:trPr>
        <w:tc>
          <w:tcPr>
            <w:tcW w:w="1308"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33" w:right="16"/>
              <w:jc w:val="both"/>
              <w:rPr>
                <w:rFonts w:asciiTheme="minorHAnsi" w:hAnsiTheme="minorHAnsi" w:cstheme="minorHAnsi"/>
              </w:rPr>
            </w:pPr>
            <w:r w:rsidRPr="00421266">
              <w:rPr>
                <w:rStyle w:val="Strong"/>
                <w:rFonts w:asciiTheme="minorHAnsi" w:hAnsiTheme="minorHAnsi" w:cstheme="minorHAnsi"/>
              </w:rPr>
              <w:t>Name of the program/ scheme</w:t>
            </w:r>
          </w:p>
        </w:tc>
        <w:tc>
          <w:tcPr>
            <w:tcW w:w="1983"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405"/>
              <w:jc w:val="both"/>
              <w:rPr>
                <w:rFonts w:asciiTheme="minorHAnsi" w:hAnsiTheme="minorHAnsi" w:cstheme="minorHAnsi"/>
              </w:rPr>
            </w:pPr>
            <w:r w:rsidRPr="00421266">
              <w:rPr>
                <w:rStyle w:val="Strong"/>
                <w:rFonts w:asciiTheme="minorHAnsi" w:hAnsiTheme="minorHAnsi" w:cstheme="minorHAnsi"/>
              </w:rPr>
              <w:t>Focus Area</w:t>
            </w:r>
          </w:p>
        </w:tc>
        <w:tc>
          <w:tcPr>
            <w:tcW w:w="189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277"/>
              <w:jc w:val="both"/>
              <w:rPr>
                <w:rFonts w:asciiTheme="minorHAnsi" w:hAnsiTheme="minorHAnsi" w:cstheme="minorHAnsi"/>
              </w:rPr>
            </w:pPr>
            <w:r w:rsidRPr="00421266">
              <w:rPr>
                <w:rStyle w:val="Strong"/>
                <w:rFonts w:asciiTheme="minorHAnsi" w:hAnsiTheme="minorHAnsi" w:cstheme="minorHAnsi"/>
              </w:rPr>
              <w:t>Stakeholders</w:t>
            </w:r>
          </w:p>
        </w:tc>
        <w:tc>
          <w:tcPr>
            <w:tcW w:w="1442"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58" w:right="145"/>
              <w:jc w:val="both"/>
              <w:rPr>
                <w:rFonts w:asciiTheme="minorHAnsi" w:hAnsiTheme="minorHAnsi" w:cstheme="minorHAnsi"/>
              </w:rPr>
            </w:pPr>
            <w:r w:rsidRPr="00421266">
              <w:rPr>
                <w:rStyle w:val="Strong"/>
                <w:rFonts w:asciiTheme="minorHAnsi" w:hAnsiTheme="minorHAnsi" w:cstheme="minorHAnsi"/>
              </w:rPr>
              <w:t xml:space="preserve">Budget (in </w:t>
            </w:r>
            <w:proofErr w:type="spellStart"/>
            <w:r w:rsidRPr="00421266">
              <w:rPr>
                <w:rStyle w:val="Strong"/>
                <w:rFonts w:asciiTheme="minorHAnsi" w:hAnsiTheme="minorHAnsi" w:cstheme="minorHAnsi"/>
              </w:rPr>
              <w:t>Crores</w:t>
            </w:r>
            <w:proofErr w:type="spellEnd"/>
            <w:r w:rsidRPr="00421266">
              <w:rPr>
                <w:rStyle w:val="Strong"/>
                <w:rFonts w:asciiTheme="minorHAnsi" w:hAnsiTheme="minorHAnsi" w:cstheme="minorHAnsi"/>
              </w:rPr>
              <w:t>) (2017- till</w:t>
            </w:r>
          </w:p>
          <w:p w:rsidR="00421266" w:rsidRPr="00421266" w:rsidRDefault="00421266">
            <w:pPr>
              <w:pStyle w:val="NormalWeb"/>
              <w:spacing w:before="0" w:beforeAutospacing="0" w:after="120" w:afterAutospacing="0"/>
              <w:ind w:left="460"/>
              <w:jc w:val="both"/>
              <w:rPr>
                <w:rFonts w:asciiTheme="minorHAnsi" w:hAnsiTheme="minorHAnsi" w:cstheme="minorHAnsi"/>
              </w:rPr>
            </w:pPr>
            <w:r w:rsidRPr="00421266">
              <w:rPr>
                <w:rStyle w:val="Strong"/>
                <w:rFonts w:asciiTheme="minorHAnsi" w:hAnsiTheme="minorHAnsi" w:cstheme="minorHAnsi"/>
              </w:rPr>
              <w:t>date)</w:t>
            </w:r>
          </w:p>
        </w:tc>
        <w:tc>
          <w:tcPr>
            <w:tcW w:w="2609"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920" w:right="903"/>
              <w:jc w:val="both"/>
              <w:rPr>
                <w:rFonts w:asciiTheme="minorHAnsi" w:hAnsiTheme="minorHAnsi" w:cstheme="minorHAnsi"/>
              </w:rPr>
            </w:pPr>
            <w:r w:rsidRPr="00421266">
              <w:rPr>
                <w:rStyle w:val="Strong"/>
                <w:rFonts w:asciiTheme="minorHAnsi" w:hAnsiTheme="minorHAnsi" w:cstheme="minorHAnsi"/>
              </w:rPr>
              <w:t>Impact</w:t>
            </w:r>
          </w:p>
        </w:tc>
      </w:tr>
      <w:tr w:rsidR="00421266" w:rsidRPr="00421266" w:rsidTr="00421266">
        <w:trPr>
          <w:jc w:val="center"/>
        </w:trPr>
        <w:tc>
          <w:tcPr>
            <w:tcW w:w="1308"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rPr>
            </w:pPr>
            <w:proofErr w:type="spellStart"/>
            <w:r w:rsidRPr="00421266">
              <w:rPr>
                <w:rStyle w:val="Strong"/>
                <w:rFonts w:asciiTheme="minorHAnsi" w:hAnsiTheme="minorHAnsi" w:cstheme="minorHAnsi"/>
              </w:rPr>
              <w:t>BioNEST</w:t>
            </w:r>
            <w:proofErr w:type="spellEnd"/>
          </w:p>
        </w:tc>
        <w:tc>
          <w:tcPr>
            <w:tcW w:w="1983"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right="130"/>
              <w:jc w:val="both"/>
              <w:rPr>
                <w:rFonts w:asciiTheme="minorHAnsi" w:hAnsiTheme="minorHAnsi" w:cstheme="minorHAnsi"/>
              </w:rPr>
            </w:pPr>
            <w:r w:rsidRPr="00421266">
              <w:rPr>
                <w:rFonts w:asciiTheme="minorHAnsi" w:hAnsiTheme="minorHAnsi" w:cstheme="minorHAnsi"/>
              </w:rPr>
              <w:t>Incubation support via grant in aid/capital investment for a maximum of 5 years</w:t>
            </w:r>
          </w:p>
        </w:tc>
        <w:tc>
          <w:tcPr>
            <w:tcW w:w="189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right="-14"/>
              <w:jc w:val="both"/>
              <w:rPr>
                <w:rFonts w:asciiTheme="minorHAnsi" w:hAnsiTheme="minorHAnsi" w:cstheme="minorHAnsi"/>
              </w:rPr>
            </w:pPr>
            <w:r w:rsidRPr="00421266">
              <w:rPr>
                <w:rFonts w:asciiTheme="minorHAnsi" w:hAnsiTheme="minorHAnsi" w:cstheme="minorHAnsi"/>
              </w:rPr>
              <w:t>Academic institutions, Research institutes, existing incubators</w:t>
            </w:r>
          </w:p>
        </w:tc>
        <w:tc>
          <w:tcPr>
            <w:tcW w:w="1442"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rPr>
            </w:pPr>
            <w:r w:rsidRPr="00421266">
              <w:rPr>
                <w:rFonts w:asciiTheme="minorHAnsi" w:hAnsiTheme="minorHAnsi" w:cstheme="minorHAnsi"/>
              </w:rPr>
              <w:t>301.00</w:t>
            </w:r>
          </w:p>
        </w:tc>
        <w:tc>
          <w:tcPr>
            <w:tcW w:w="2609"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5" w:right="-29"/>
              <w:jc w:val="both"/>
              <w:rPr>
                <w:rFonts w:asciiTheme="minorHAnsi" w:hAnsiTheme="minorHAnsi" w:cstheme="minorHAnsi"/>
              </w:rPr>
            </w:pPr>
            <w:r w:rsidRPr="00421266">
              <w:rPr>
                <w:rFonts w:asciiTheme="minorHAnsi" w:hAnsiTheme="minorHAnsi" w:cstheme="minorHAnsi"/>
              </w:rPr>
              <w:t xml:space="preserve">50                      </w:t>
            </w:r>
            <w:proofErr w:type="spellStart"/>
            <w:r w:rsidRPr="00421266">
              <w:rPr>
                <w:rFonts w:asciiTheme="minorHAnsi" w:hAnsiTheme="minorHAnsi" w:cstheme="minorHAnsi"/>
              </w:rPr>
              <w:t>BioIncubators</w:t>
            </w:r>
            <w:proofErr w:type="spellEnd"/>
            <w:r w:rsidRPr="00421266">
              <w:rPr>
                <w:rFonts w:asciiTheme="minorHAnsi" w:hAnsiTheme="minorHAnsi" w:cstheme="minorHAnsi"/>
              </w:rPr>
              <w:t xml:space="preserve"> established  across  the country 549219 </w:t>
            </w:r>
            <w:proofErr w:type="spellStart"/>
            <w:r w:rsidRPr="00421266">
              <w:rPr>
                <w:rFonts w:asciiTheme="minorHAnsi" w:hAnsiTheme="minorHAnsi" w:cstheme="minorHAnsi"/>
              </w:rPr>
              <w:t>Sq.Ft</w:t>
            </w:r>
            <w:proofErr w:type="spellEnd"/>
            <w:r w:rsidRPr="00421266">
              <w:rPr>
                <w:rFonts w:asciiTheme="minorHAnsi" w:hAnsiTheme="minorHAnsi" w:cstheme="minorHAnsi"/>
              </w:rPr>
              <w:t>. incubation space created 700+ incubates supported</w:t>
            </w:r>
          </w:p>
        </w:tc>
      </w:tr>
      <w:tr w:rsidR="00421266" w:rsidRPr="00421266" w:rsidTr="00421266">
        <w:trPr>
          <w:jc w:val="center"/>
        </w:trPr>
        <w:tc>
          <w:tcPr>
            <w:tcW w:w="1308"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rPr>
            </w:pPr>
            <w:r w:rsidRPr="00421266">
              <w:rPr>
                <w:rStyle w:val="Strong"/>
                <w:rFonts w:asciiTheme="minorHAnsi" w:hAnsiTheme="minorHAnsi" w:cstheme="minorHAnsi"/>
              </w:rPr>
              <w:t>BIG</w:t>
            </w:r>
          </w:p>
        </w:tc>
        <w:tc>
          <w:tcPr>
            <w:tcW w:w="1983"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right="364"/>
              <w:jc w:val="both"/>
              <w:rPr>
                <w:rFonts w:asciiTheme="minorHAnsi" w:hAnsiTheme="minorHAnsi" w:cstheme="minorHAnsi"/>
              </w:rPr>
            </w:pPr>
            <w:r w:rsidRPr="00421266">
              <w:rPr>
                <w:rFonts w:asciiTheme="minorHAnsi" w:hAnsiTheme="minorHAnsi" w:cstheme="minorHAnsi"/>
              </w:rPr>
              <w:t>Ideation to early stage.</w:t>
            </w:r>
          </w:p>
          <w:p w:rsidR="00421266" w:rsidRPr="00421266" w:rsidRDefault="00421266">
            <w:pPr>
              <w:pStyle w:val="NormalWeb"/>
              <w:spacing w:before="0" w:beforeAutospacing="0" w:after="120" w:afterAutospacing="0"/>
              <w:ind w:left="6" w:right="103"/>
              <w:jc w:val="both"/>
              <w:rPr>
                <w:rFonts w:asciiTheme="minorHAnsi" w:hAnsiTheme="minorHAnsi" w:cstheme="minorHAnsi"/>
              </w:rPr>
            </w:pPr>
            <w:r w:rsidRPr="00421266">
              <w:rPr>
                <w:rFonts w:asciiTheme="minorHAnsi" w:hAnsiTheme="minorHAnsi" w:cstheme="minorHAnsi"/>
              </w:rPr>
              <w:t>Milestone based funding for 18 months in the form of grant in Aid</w:t>
            </w:r>
          </w:p>
        </w:tc>
        <w:tc>
          <w:tcPr>
            <w:tcW w:w="189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right="386"/>
              <w:jc w:val="both"/>
              <w:rPr>
                <w:rFonts w:asciiTheme="minorHAnsi" w:hAnsiTheme="minorHAnsi" w:cstheme="minorHAnsi"/>
              </w:rPr>
            </w:pPr>
            <w:r w:rsidRPr="00421266">
              <w:rPr>
                <w:rFonts w:asciiTheme="minorHAnsi" w:hAnsiTheme="minorHAnsi" w:cstheme="minorHAnsi"/>
              </w:rPr>
              <w:t>Indian citizens, company/LLP</w:t>
            </w:r>
          </w:p>
        </w:tc>
        <w:tc>
          <w:tcPr>
            <w:tcW w:w="1442"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rPr>
            </w:pPr>
            <w:r w:rsidRPr="00421266">
              <w:rPr>
                <w:rFonts w:asciiTheme="minorHAnsi" w:hAnsiTheme="minorHAnsi" w:cstheme="minorHAnsi"/>
              </w:rPr>
              <w:t>250.00</w:t>
            </w:r>
          </w:p>
        </w:tc>
        <w:tc>
          <w:tcPr>
            <w:tcW w:w="2609" w:type="dxa"/>
            <w:shd w:val="clear" w:color="auto" w:fill="auto"/>
            <w:tcMar>
              <w:top w:w="96" w:type="dxa"/>
              <w:left w:w="96" w:type="dxa"/>
              <w:bottom w:w="96" w:type="dxa"/>
              <w:right w:w="96" w:type="dxa"/>
            </w:tcMar>
            <w:hideMark/>
          </w:tcPr>
          <w:p w:rsidR="00421266" w:rsidRPr="00421266" w:rsidRDefault="00421266" w:rsidP="00421266">
            <w:pPr>
              <w:numPr>
                <w:ilvl w:val="0"/>
                <w:numId w:val="11"/>
              </w:numPr>
              <w:spacing w:before="100" w:beforeAutospacing="1" w:after="100" w:afterAutospacing="1" w:line="240" w:lineRule="auto"/>
              <w:ind w:left="0"/>
              <w:jc w:val="both"/>
              <w:rPr>
                <w:rFonts w:cstheme="minorHAnsi"/>
                <w:sz w:val="24"/>
                <w:szCs w:val="24"/>
              </w:rPr>
            </w:pPr>
            <w:r w:rsidRPr="00421266">
              <w:rPr>
                <w:rFonts w:cstheme="minorHAnsi"/>
                <w:sz w:val="24"/>
                <w:szCs w:val="24"/>
              </w:rPr>
              <w:t>8 BIG Partners engaged to implement the scheme</w:t>
            </w:r>
          </w:p>
          <w:p w:rsidR="00421266" w:rsidRPr="00421266" w:rsidRDefault="00421266" w:rsidP="00421266">
            <w:pPr>
              <w:numPr>
                <w:ilvl w:val="0"/>
                <w:numId w:val="11"/>
              </w:numPr>
              <w:spacing w:before="100" w:beforeAutospacing="1" w:after="100" w:afterAutospacing="1" w:line="240" w:lineRule="auto"/>
              <w:ind w:left="0"/>
              <w:jc w:val="both"/>
              <w:rPr>
                <w:rFonts w:cstheme="minorHAnsi"/>
                <w:sz w:val="24"/>
                <w:szCs w:val="24"/>
              </w:rPr>
            </w:pPr>
            <w:r w:rsidRPr="00421266">
              <w:rPr>
                <w:rFonts w:cstheme="minorHAnsi"/>
                <w:sz w:val="24"/>
                <w:szCs w:val="24"/>
              </w:rPr>
              <w:t>125 new start ups incorporated through scheme support</w:t>
            </w:r>
          </w:p>
          <w:p w:rsidR="00421266" w:rsidRPr="00421266" w:rsidRDefault="00421266" w:rsidP="00421266">
            <w:pPr>
              <w:numPr>
                <w:ilvl w:val="0"/>
                <w:numId w:val="11"/>
              </w:numPr>
              <w:spacing w:before="100" w:beforeAutospacing="1" w:after="100" w:afterAutospacing="1" w:line="240" w:lineRule="auto"/>
              <w:ind w:left="0"/>
              <w:jc w:val="both"/>
              <w:rPr>
                <w:rFonts w:cstheme="minorHAnsi"/>
                <w:sz w:val="24"/>
                <w:szCs w:val="24"/>
              </w:rPr>
            </w:pPr>
            <w:r w:rsidRPr="00421266">
              <w:rPr>
                <w:rFonts w:cstheme="minorHAnsi"/>
                <w:sz w:val="24"/>
                <w:szCs w:val="24"/>
              </w:rPr>
              <w:t>More than 50 products/ technologies commercialized through BIG support</w:t>
            </w:r>
          </w:p>
          <w:p w:rsidR="00421266" w:rsidRPr="00421266" w:rsidRDefault="00421266" w:rsidP="00421266">
            <w:pPr>
              <w:numPr>
                <w:ilvl w:val="0"/>
                <w:numId w:val="11"/>
              </w:numPr>
              <w:spacing w:before="100" w:beforeAutospacing="1" w:after="100" w:afterAutospacing="1" w:line="240" w:lineRule="auto"/>
              <w:ind w:left="0"/>
              <w:jc w:val="both"/>
              <w:rPr>
                <w:rFonts w:cstheme="minorHAnsi"/>
                <w:sz w:val="24"/>
                <w:szCs w:val="24"/>
              </w:rPr>
            </w:pPr>
            <w:r w:rsidRPr="00421266">
              <w:rPr>
                <w:rFonts w:cstheme="minorHAnsi"/>
                <w:sz w:val="24"/>
                <w:szCs w:val="24"/>
              </w:rPr>
              <w:t>More than 500 innovative ideas supported</w:t>
            </w:r>
          </w:p>
          <w:p w:rsidR="00421266" w:rsidRPr="00421266" w:rsidRDefault="00421266" w:rsidP="00421266">
            <w:pPr>
              <w:numPr>
                <w:ilvl w:val="0"/>
                <w:numId w:val="11"/>
              </w:numPr>
              <w:spacing w:before="100" w:beforeAutospacing="1" w:after="100" w:afterAutospacing="1" w:line="240" w:lineRule="auto"/>
              <w:ind w:left="0"/>
              <w:jc w:val="both"/>
              <w:rPr>
                <w:rFonts w:cstheme="minorHAnsi"/>
                <w:sz w:val="24"/>
                <w:szCs w:val="24"/>
              </w:rPr>
            </w:pPr>
            <w:r w:rsidRPr="00421266">
              <w:rPr>
                <w:rFonts w:cstheme="minorHAnsi"/>
                <w:sz w:val="24"/>
                <w:szCs w:val="24"/>
              </w:rPr>
              <w:t>More than 150 IPs have been filed</w:t>
            </w:r>
          </w:p>
          <w:p w:rsidR="00421266" w:rsidRPr="00421266" w:rsidRDefault="00421266" w:rsidP="00421266">
            <w:pPr>
              <w:numPr>
                <w:ilvl w:val="0"/>
                <w:numId w:val="11"/>
              </w:numPr>
              <w:spacing w:before="100" w:beforeAutospacing="1" w:after="100" w:afterAutospacing="1" w:line="240" w:lineRule="auto"/>
              <w:ind w:left="0"/>
              <w:jc w:val="both"/>
              <w:rPr>
                <w:rFonts w:cstheme="minorHAnsi"/>
                <w:sz w:val="24"/>
                <w:szCs w:val="24"/>
              </w:rPr>
            </w:pPr>
            <w:r w:rsidRPr="00421266">
              <w:rPr>
                <w:rFonts w:cstheme="minorHAnsi"/>
                <w:sz w:val="24"/>
                <w:szCs w:val="24"/>
              </w:rPr>
              <w:t xml:space="preserve">75+ start-ups have raised </w:t>
            </w:r>
            <w:r w:rsidRPr="00421266">
              <w:rPr>
                <w:rFonts w:cstheme="minorHAnsi"/>
                <w:sz w:val="24"/>
                <w:szCs w:val="24"/>
              </w:rPr>
              <w:lastRenderedPageBreak/>
              <w:t>follow on funding</w:t>
            </w:r>
          </w:p>
        </w:tc>
      </w:tr>
      <w:tr w:rsidR="00421266" w:rsidRPr="00421266" w:rsidTr="00421266">
        <w:trPr>
          <w:jc w:val="center"/>
        </w:trPr>
        <w:tc>
          <w:tcPr>
            <w:tcW w:w="1308"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rPr>
            </w:pPr>
            <w:r w:rsidRPr="00421266">
              <w:rPr>
                <w:rStyle w:val="Strong"/>
                <w:rFonts w:asciiTheme="minorHAnsi" w:hAnsiTheme="minorHAnsi" w:cstheme="minorHAnsi"/>
              </w:rPr>
              <w:lastRenderedPageBreak/>
              <w:t>SITARE</w:t>
            </w:r>
          </w:p>
        </w:tc>
        <w:tc>
          <w:tcPr>
            <w:tcW w:w="1983"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right="97"/>
              <w:jc w:val="both"/>
              <w:rPr>
                <w:rFonts w:asciiTheme="minorHAnsi" w:hAnsiTheme="minorHAnsi" w:cstheme="minorHAnsi"/>
              </w:rPr>
            </w:pPr>
            <w:r w:rsidRPr="00421266">
              <w:rPr>
                <w:rFonts w:asciiTheme="minorHAnsi" w:hAnsiTheme="minorHAnsi" w:cstheme="minorHAnsi"/>
              </w:rPr>
              <w:t>Ideation to early stage. Support is in the form of award grant</w:t>
            </w:r>
          </w:p>
        </w:tc>
        <w:tc>
          <w:tcPr>
            <w:tcW w:w="189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rPr>
            </w:pPr>
            <w:r w:rsidRPr="00421266">
              <w:rPr>
                <w:rFonts w:asciiTheme="minorHAnsi" w:hAnsiTheme="minorHAnsi" w:cstheme="minorHAnsi"/>
              </w:rPr>
              <w:t>Indian students</w:t>
            </w:r>
          </w:p>
        </w:tc>
        <w:tc>
          <w:tcPr>
            <w:tcW w:w="1442"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rPr>
            </w:pPr>
            <w:r w:rsidRPr="00421266">
              <w:rPr>
                <w:rFonts w:asciiTheme="minorHAnsi" w:hAnsiTheme="minorHAnsi" w:cstheme="minorHAnsi"/>
              </w:rPr>
              <w:t>13.00</w:t>
            </w:r>
          </w:p>
        </w:tc>
        <w:tc>
          <w:tcPr>
            <w:tcW w:w="2609" w:type="dxa"/>
            <w:shd w:val="clear" w:color="auto" w:fill="auto"/>
            <w:tcMar>
              <w:top w:w="96" w:type="dxa"/>
              <w:left w:w="96" w:type="dxa"/>
              <w:bottom w:w="96" w:type="dxa"/>
              <w:right w:w="96" w:type="dxa"/>
            </w:tcMar>
            <w:hideMark/>
          </w:tcPr>
          <w:p w:rsidR="00421266" w:rsidRPr="00421266" w:rsidRDefault="00421266" w:rsidP="00421266">
            <w:pPr>
              <w:numPr>
                <w:ilvl w:val="0"/>
                <w:numId w:val="12"/>
              </w:numPr>
              <w:spacing w:before="100" w:beforeAutospacing="1" w:after="100" w:afterAutospacing="1" w:line="240" w:lineRule="auto"/>
              <w:ind w:left="0"/>
              <w:jc w:val="both"/>
              <w:rPr>
                <w:rFonts w:cstheme="minorHAnsi"/>
                <w:sz w:val="24"/>
                <w:szCs w:val="24"/>
              </w:rPr>
            </w:pPr>
            <w:r w:rsidRPr="00421266">
              <w:rPr>
                <w:rFonts w:cstheme="minorHAnsi"/>
                <w:sz w:val="24"/>
                <w:szCs w:val="24"/>
              </w:rPr>
              <w:t>Implemented through SITARE Partner- SRISTI, Ahmadabad</w:t>
            </w:r>
          </w:p>
          <w:p w:rsidR="00421266" w:rsidRPr="00421266" w:rsidRDefault="00421266" w:rsidP="00421266">
            <w:pPr>
              <w:numPr>
                <w:ilvl w:val="0"/>
                <w:numId w:val="12"/>
              </w:numPr>
              <w:spacing w:before="100" w:beforeAutospacing="1" w:after="100" w:afterAutospacing="1" w:line="240" w:lineRule="auto"/>
              <w:ind w:left="0"/>
              <w:jc w:val="both"/>
              <w:rPr>
                <w:rFonts w:cstheme="minorHAnsi"/>
                <w:sz w:val="24"/>
                <w:szCs w:val="24"/>
              </w:rPr>
            </w:pPr>
            <w:r w:rsidRPr="00421266">
              <w:rPr>
                <w:rFonts w:cstheme="minorHAnsi"/>
                <w:sz w:val="24"/>
                <w:szCs w:val="24"/>
              </w:rPr>
              <w:t>64 SITARE- GYTI Awardees</w:t>
            </w:r>
          </w:p>
          <w:p w:rsidR="00421266" w:rsidRPr="00421266" w:rsidRDefault="00421266" w:rsidP="00421266">
            <w:pPr>
              <w:numPr>
                <w:ilvl w:val="0"/>
                <w:numId w:val="12"/>
              </w:numPr>
              <w:spacing w:before="100" w:beforeAutospacing="1" w:after="100" w:afterAutospacing="1" w:line="240" w:lineRule="auto"/>
              <w:ind w:left="0"/>
              <w:jc w:val="both"/>
              <w:rPr>
                <w:rFonts w:cstheme="minorHAnsi"/>
                <w:sz w:val="24"/>
                <w:szCs w:val="24"/>
              </w:rPr>
            </w:pPr>
            <w:r w:rsidRPr="00421266">
              <w:rPr>
                <w:rFonts w:cstheme="minorHAnsi"/>
                <w:sz w:val="24"/>
                <w:szCs w:val="24"/>
              </w:rPr>
              <w:t>4 Start Ups</w:t>
            </w:r>
          </w:p>
          <w:p w:rsidR="00421266" w:rsidRPr="00421266" w:rsidRDefault="00421266" w:rsidP="00421266">
            <w:pPr>
              <w:numPr>
                <w:ilvl w:val="0"/>
                <w:numId w:val="12"/>
              </w:numPr>
              <w:spacing w:before="100" w:beforeAutospacing="1" w:after="100" w:afterAutospacing="1" w:line="240" w:lineRule="auto"/>
              <w:ind w:left="0"/>
              <w:jc w:val="both"/>
              <w:rPr>
                <w:rFonts w:cstheme="minorHAnsi"/>
                <w:sz w:val="24"/>
                <w:szCs w:val="24"/>
              </w:rPr>
            </w:pPr>
            <w:r w:rsidRPr="00421266">
              <w:rPr>
                <w:rFonts w:cstheme="minorHAnsi"/>
                <w:sz w:val="24"/>
                <w:szCs w:val="24"/>
              </w:rPr>
              <w:t>20 IPs</w:t>
            </w:r>
          </w:p>
          <w:p w:rsidR="00421266" w:rsidRPr="00421266" w:rsidRDefault="00421266" w:rsidP="00421266">
            <w:pPr>
              <w:numPr>
                <w:ilvl w:val="0"/>
                <w:numId w:val="12"/>
              </w:numPr>
              <w:spacing w:before="100" w:beforeAutospacing="1" w:after="100" w:afterAutospacing="1" w:line="240" w:lineRule="auto"/>
              <w:ind w:left="0"/>
              <w:jc w:val="both"/>
              <w:rPr>
                <w:rFonts w:cstheme="minorHAnsi"/>
                <w:sz w:val="24"/>
                <w:szCs w:val="24"/>
              </w:rPr>
            </w:pPr>
            <w:r w:rsidRPr="00421266">
              <w:rPr>
                <w:rFonts w:cstheme="minorHAnsi"/>
                <w:sz w:val="24"/>
                <w:szCs w:val="24"/>
              </w:rPr>
              <w:t>5 Residential Workshops</w:t>
            </w:r>
          </w:p>
          <w:p w:rsidR="00421266" w:rsidRPr="00421266" w:rsidRDefault="00421266" w:rsidP="00421266">
            <w:pPr>
              <w:numPr>
                <w:ilvl w:val="0"/>
                <w:numId w:val="12"/>
              </w:numPr>
              <w:spacing w:before="100" w:beforeAutospacing="1" w:after="100" w:afterAutospacing="1" w:line="240" w:lineRule="auto"/>
              <w:ind w:left="0"/>
              <w:jc w:val="both"/>
              <w:rPr>
                <w:rFonts w:cstheme="minorHAnsi"/>
                <w:sz w:val="24"/>
                <w:szCs w:val="24"/>
              </w:rPr>
            </w:pPr>
            <w:r w:rsidRPr="00421266">
              <w:rPr>
                <w:rFonts w:cstheme="minorHAnsi"/>
                <w:sz w:val="24"/>
                <w:szCs w:val="24"/>
              </w:rPr>
              <w:t>170+ appreciation awardees</w:t>
            </w:r>
          </w:p>
        </w:tc>
      </w:tr>
      <w:tr w:rsidR="00421266" w:rsidRPr="00421266" w:rsidTr="00421266">
        <w:trPr>
          <w:jc w:val="center"/>
        </w:trPr>
        <w:tc>
          <w:tcPr>
            <w:tcW w:w="1308"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rPr>
            </w:pPr>
            <w:r w:rsidRPr="00421266">
              <w:rPr>
                <w:rStyle w:val="Strong"/>
                <w:rFonts w:asciiTheme="minorHAnsi" w:hAnsiTheme="minorHAnsi" w:cstheme="minorHAnsi"/>
              </w:rPr>
              <w:t>E-YUVA</w:t>
            </w:r>
          </w:p>
        </w:tc>
        <w:tc>
          <w:tcPr>
            <w:tcW w:w="1983"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right="257"/>
              <w:jc w:val="both"/>
              <w:rPr>
                <w:rFonts w:asciiTheme="minorHAnsi" w:hAnsiTheme="minorHAnsi" w:cstheme="minorHAnsi"/>
              </w:rPr>
            </w:pPr>
            <w:r w:rsidRPr="00421266">
              <w:rPr>
                <w:rFonts w:asciiTheme="minorHAnsi" w:hAnsiTheme="minorHAnsi" w:cstheme="minorHAnsi"/>
              </w:rPr>
              <w:t>Pre-incubation, creating an entrepreneurial culture at University Level.</w:t>
            </w:r>
          </w:p>
        </w:tc>
        <w:tc>
          <w:tcPr>
            <w:tcW w:w="189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right="20"/>
              <w:jc w:val="both"/>
              <w:rPr>
                <w:rFonts w:asciiTheme="minorHAnsi" w:hAnsiTheme="minorHAnsi" w:cstheme="minorHAnsi"/>
              </w:rPr>
            </w:pPr>
            <w:r w:rsidRPr="00421266">
              <w:rPr>
                <w:rFonts w:asciiTheme="minorHAnsi" w:hAnsiTheme="minorHAnsi" w:cstheme="minorHAnsi"/>
              </w:rPr>
              <w:t>Undergraduate and post graduate students</w:t>
            </w:r>
          </w:p>
        </w:tc>
        <w:tc>
          <w:tcPr>
            <w:tcW w:w="1442"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rPr>
            </w:pPr>
            <w:r w:rsidRPr="00421266">
              <w:rPr>
                <w:rFonts w:asciiTheme="minorHAnsi" w:hAnsiTheme="minorHAnsi" w:cstheme="minorHAnsi"/>
              </w:rPr>
              <w:t>11.20</w:t>
            </w:r>
          </w:p>
        </w:tc>
        <w:tc>
          <w:tcPr>
            <w:tcW w:w="2609" w:type="dxa"/>
            <w:shd w:val="clear" w:color="auto" w:fill="auto"/>
            <w:tcMar>
              <w:top w:w="96" w:type="dxa"/>
              <w:left w:w="96" w:type="dxa"/>
              <w:bottom w:w="96" w:type="dxa"/>
              <w:right w:w="96" w:type="dxa"/>
            </w:tcMar>
            <w:hideMark/>
          </w:tcPr>
          <w:p w:rsidR="00421266" w:rsidRPr="00421266" w:rsidRDefault="00421266" w:rsidP="00421266">
            <w:pPr>
              <w:numPr>
                <w:ilvl w:val="0"/>
                <w:numId w:val="13"/>
              </w:numPr>
              <w:spacing w:before="100" w:beforeAutospacing="1" w:after="100" w:afterAutospacing="1" w:line="240" w:lineRule="auto"/>
              <w:ind w:left="0"/>
              <w:jc w:val="both"/>
              <w:rPr>
                <w:rFonts w:cstheme="minorHAnsi"/>
                <w:sz w:val="24"/>
                <w:szCs w:val="24"/>
              </w:rPr>
            </w:pPr>
            <w:r w:rsidRPr="00421266">
              <w:rPr>
                <w:rFonts w:cstheme="minorHAnsi"/>
                <w:sz w:val="24"/>
                <w:szCs w:val="24"/>
              </w:rPr>
              <w:t xml:space="preserve">5 Universities recognized as EYUVA </w:t>
            </w:r>
            <w:proofErr w:type="spellStart"/>
            <w:r w:rsidRPr="00421266">
              <w:rPr>
                <w:rFonts w:cstheme="minorHAnsi"/>
                <w:sz w:val="24"/>
                <w:szCs w:val="24"/>
              </w:rPr>
              <w:t>Centres</w:t>
            </w:r>
            <w:proofErr w:type="spellEnd"/>
          </w:p>
          <w:p w:rsidR="00421266" w:rsidRPr="00421266" w:rsidRDefault="00421266" w:rsidP="00421266">
            <w:pPr>
              <w:numPr>
                <w:ilvl w:val="0"/>
                <w:numId w:val="13"/>
              </w:numPr>
              <w:spacing w:before="100" w:beforeAutospacing="1" w:after="100" w:afterAutospacing="1" w:line="240" w:lineRule="auto"/>
              <w:ind w:left="0"/>
              <w:jc w:val="both"/>
              <w:rPr>
                <w:rFonts w:cstheme="minorHAnsi"/>
                <w:sz w:val="24"/>
                <w:szCs w:val="24"/>
              </w:rPr>
            </w:pPr>
            <w:r w:rsidRPr="00421266">
              <w:rPr>
                <w:rFonts w:cstheme="minorHAnsi"/>
                <w:sz w:val="24"/>
                <w:szCs w:val="24"/>
              </w:rPr>
              <w:t xml:space="preserve">5-10 more </w:t>
            </w:r>
            <w:proofErr w:type="spellStart"/>
            <w:r w:rsidRPr="00421266">
              <w:rPr>
                <w:rFonts w:cstheme="minorHAnsi"/>
                <w:sz w:val="24"/>
                <w:szCs w:val="24"/>
              </w:rPr>
              <w:t>centres</w:t>
            </w:r>
            <w:proofErr w:type="spellEnd"/>
            <w:r w:rsidRPr="00421266">
              <w:rPr>
                <w:rFonts w:cstheme="minorHAnsi"/>
                <w:sz w:val="24"/>
                <w:szCs w:val="24"/>
              </w:rPr>
              <w:t xml:space="preserve"> being inducted</w:t>
            </w:r>
          </w:p>
          <w:p w:rsidR="00421266" w:rsidRPr="00421266" w:rsidRDefault="00421266" w:rsidP="00421266">
            <w:pPr>
              <w:numPr>
                <w:ilvl w:val="0"/>
                <w:numId w:val="13"/>
              </w:numPr>
              <w:spacing w:before="100" w:beforeAutospacing="1" w:after="100" w:afterAutospacing="1" w:line="240" w:lineRule="auto"/>
              <w:ind w:left="0"/>
              <w:jc w:val="both"/>
              <w:rPr>
                <w:rFonts w:cstheme="minorHAnsi"/>
                <w:sz w:val="24"/>
                <w:szCs w:val="24"/>
              </w:rPr>
            </w:pPr>
            <w:r w:rsidRPr="00421266">
              <w:rPr>
                <w:rFonts w:cstheme="minorHAnsi"/>
                <w:sz w:val="24"/>
                <w:szCs w:val="24"/>
              </w:rPr>
              <w:t>30 Innovation Fellows</w:t>
            </w:r>
          </w:p>
        </w:tc>
      </w:tr>
    </w:tbl>
    <w:p w:rsidR="00421266" w:rsidRPr="00421266"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421266">
        <w:rPr>
          <w:rFonts w:asciiTheme="minorHAnsi" w:hAnsiTheme="minorHAnsi" w:cstheme="minorHAnsi"/>
          <w:color w:val="333333"/>
        </w:rPr>
        <w:t> </w:t>
      </w:r>
    </w:p>
    <w:tbl>
      <w:tblPr>
        <w:tblW w:w="8816"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41"/>
        <w:gridCol w:w="1611"/>
        <w:gridCol w:w="1745"/>
        <w:gridCol w:w="1206"/>
        <w:gridCol w:w="2513"/>
      </w:tblGrid>
      <w:tr w:rsidR="00421266" w:rsidRPr="00421266" w:rsidTr="00122A18">
        <w:trPr>
          <w:jc w:val="center"/>
        </w:trPr>
        <w:tc>
          <w:tcPr>
            <w:tcW w:w="1741"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 </w:t>
            </w:r>
          </w:p>
        </w:tc>
        <w:tc>
          <w:tcPr>
            <w:tcW w:w="1611"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 </w:t>
            </w:r>
          </w:p>
        </w:tc>
        <w:tc>
          <w:tcPr>
            <w:tcW w:w="1745"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 </w:t>
            </w:r>
          </w:p>
        </w:tc>
        <w:tc>
          <w:tcPr>
            <w:tcW w:w="120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 </w:t>
            </w:r>
          </w:p>
        </w:tc>
        <w:tc>
          <w:tcPr>
            <w:tcW w:w="2513" w:type="dxa"/>
            <w:shd w:val="clear" w:color="auto" w:fill="auto"/>
            <w:tcMar>
              <w:top w:w="96" w:type="dxa"/>
              <w:left w:w="96" w:type="dxa"/>
              <w:bottom w:w="96" w:type="dxa"/>
              <w:right w:w="96" w:type="dxa"/>
            </w:tcMar>
            <w:hideMark/>
          </w:tcPr>
          <w:p w:rsidR="00421266" w:rsidRPr="00421266" w:rsidRDefault="00421266" w:rsidP="00421266">
            <w:pPr>
              <w:numPr>
                <w:ilvl w:val="0"/>
                <w:numId w:val="14"/>
              </w:numPr>
              <w:spacing w:before="100" w:beforeAutospacing="1" w:after="100" w:afterAutospacing="1" w:line="240" w:lineRule="auto"/>
              <w:ind w:left="0"/>
              <w:jc w:val="both"/>
              <w:rPr>
                <w:rFonts w:cstheme="minorHAnsi"/>
                <w:sz w:val="24"/>
                <w:szCs w:val="24"/>
              </w:rPr>
            </w:pPr>
            <w:r w:rsidRPr="00421266">
              <w:rPr>
                <w:rFonts w:cstheme="minorHAnsi"/>
                <w:sz w:val="24"/>
                <w:szCs w:val="24"/>
              </w:rPr>
              <w:t>8 Start Ups incorporated</w:t>
            </w:r>
          </w:p>
          <w:p w:rsidR="00421266" w:rsidRPr="00421266" w:rsidRDefault="00421266" w:rsidP="00421266">
            <w:pPr>
              <w:numPr>
                <w:ilvl w:val="0"/>
                <w:numId w:val="14"/>
              </w:numPr>
              <w:spacing w:before="100" w:beforeAutospacing="1" w:after="100" w:afterAutospacing="1" w:line="240" w:lineRule="auto"/>
              <w:ind w:left="0"/>
              <w:jc w:val="both"/>
              <w:rPr>
                <w:rFonts w:cstheme="minorHAnsi"/>
                <w:sz w:val="24"/>
                <w:szCs w:val="24"/>
              </w:rPr>
            </w:pPr>
            <w:r w:rsidRPr="00421266">
              <w:rPr>
                <w:rFonts w:cstheme="minorHAnsi"/>
                <w:sz w:val="24"/>
                <w:szCs w:val="24"/>
              </w:rPr>
              <w:t>10 IPs filed</w:t>
            </w:r>
          </w:p>
        </w:tc>
      </w:tr>
      <w:tr w:rsidR="00421266" w:rsidRPr="00421266" w:rsidTr="00122A18">
        <w:trPr>
          <w:jc w:val="center"/>
        </w:trPr>
        <w:tc>
          <w:tcPr>
            <w:tcW w:w="1741"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rPr>
            </w:pPr>
            <w:r w:rsidRPr="00421266">
              <w:rPr>
                <w:rFonts w:asciiTheme="minorHAnsi" w:hAnsiTheme="minorHAnsi" w:cstheme="minorHAnsi"/>
              </w:rPr>
              <w:t>SEED Fund</w:t>
            </w:r>
          </w:p>
        </w:tc>
        <w:tc>
          <w:tcPr>
            <w:tcW w:w="1611"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
              <w:jc w:val="both"/>
              <w:rPr>
                <w:rFonts w:asciiTheme="minorHAnsi" w:hAnsiTheme="minorHAnsi" w:cstheme="minorHAnsi"/>
              </w:rPr>
            </w:pPr>
            <w:r w:rsidRPr="00421266">
              <w:rPr>
                <w:rFonts w:asciiTheme="minorHAnsi" w:hAnsiTheme="minorHAnsi" w:cstheme="minorHAnsi"/>
              </w:rPr>
              <w:t>Equity funding</w:t>
            </w:r>
          </w:p>
        </w:tc>
        <w:tc>
          <w:tcPr>
            <w:tcW w:w="1745"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2"/>
              <w:jc w:val="both"/>
              <w:rPr>
                <w:rFonts w:asciiTheme="minorHAnsi" w:hAnsiTheme="minorHAnsi" w:cstheme="minorHAnsi"/>
              </w:rPr>
            </w:pPr>
            <w:r w:rsidRPr="00421266">
              <w:rPr>
                <w:rFonts w:asciiTheme="minorHAnsi" w:hAnsiTheme="minorHAnsi" w:cstheme="minorHAnsi"/>
              </w:rPr>
              <w:t>Start ups&amp; SMEs</w:t>
            </w:r>
          </w:p>
        </w:tc>
        <w:tc>
          <w:tcPr>
            <w:tcW w:w="120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rPr>
            </w:pPr>
            <w:r w:rsidRPr="00421266">
              <w:rPr>
                <w:rFonts w:asciiTheme="minorHAnsi" w:hAnsiTheme="minorHAnsi" w:cstheme="minorHAnsi"/>
              </w:rPr>
              <w:t>29.00</w:t>
            </w:r>
          </w:p>
        </w:tc>
        <w:tc>
          <w:tcPr>
            <w:tcW w:w="2513" w:type="dxa"/>
            <w:shd w:val="clear" w:color="auto" w:fill="auto"/>
            <w:tcMar>
              <w:top w:w="96" w:type="dxa"/>
              <w:left w:w="96" w:type="dxa"/>
              <w:bottom w:w="96" w:type="dxa"/>
              <w:right w:w="96" w:type="dxa"/>
            </w:tcMar>
            <w:hideMark/>
          </w:tcPr>
          <w:p w:rsidR="00421266" w:rsidRPr="00421266" w:rsidRDefault="00421266" w:rsidP="00421266">
            <w:pPr>
              <w:numPr>
                <w:ilvl w:val="0"/>
                <w:numId w:val="15"/>
              </w:numPr>
              <w:spacing w:before="100" w:beforeAutospacing="1" w:after="100" w:afterAutospacing="1" w:line="240" w:lineRule="auto"/>
              <w:ind w:left="0"/>
              <w:jc w:val="both"/>
              <w:rPr>
                <w:rFonts w:cstheme="minorHAnsi"/>
                <w:sz w:val="24"/>
                <w:szCs w:val="24"/>
              </w:rPr>
            </w:pPr>
            <w:r w:rsidRPr="00421266">
              <w:rPr>
                <w:rFonts w:cstheme="minorHAnsi"/>
                <w:sz w:val="24"/>
                <w:szCs w:val="24"/>
              </w:rPr>
              <w:t xml:space="preserve">16 </w:t>
            </w:r>
            <w:proofErr w:type="spellStart"/>
            <w:r w:rsidRPr="00421266">
              <w:rPr>
                <w:rFonts w:cstheme="minorHAnsi"/>
                <w:sz w:val="24"/>
                <w:szCs w:val="24"/>
              </w:rPr>
              <w:t>BioNEST</w:t>
            </w:r>
            <w:proofErr w:type="spellEnd"/>
            <w:r w:rsidRPr="00421266">
              <w:rPr>
                <w:rFonts w:cstheme="minorHAnsi"/>
                <w:sz w:val="24"/>
                <w:szCs w:val="24"/>
              </w:rPr>
              <w:t xml:space="preserve"> Incubators engaged as SEED Fund Partners</w:t>
            </w:r>
          </w:p>
          <w:p w:rsidR="00421266" w:rsidRPr="00421266" w:rsidRDefault="00421266" w:rsidP="00421266">
            <w:pPr>
              <w:numPr>
                <w:ilvl w:val="0"/>
                <w:numId w:val="15"/>
              </w:numPr>
              <w:spacing w:before="100" w:beforeAutospacing="1" w:after="100" w:afterAutospacing="1" w:line="240" w:lineRule="auto"/>
              <w:ind w:left="0"/>
              <w:jc w:val="both"/>
              <w:rPr>
                <w:rFonts w:cstheme="minorHAnsi"/>
                <w:sz w:val="24"/>
                <w:szCs w:val="24"/>
              </w:rPr>
            </w:pPr>
            <w:r w:rsidRPr="00421266">
              <w:rPr>
                <w:rFonts w:cstheme="minorHAnsi"/>
                <w:sz w:val="24"/>
                <w:szCs w:val="24"/>
              </w:rPr>
              <w:t>55+ start ups supported</w:t>
            </w:r>
          </w:p>
          <w:p w:rsidR="00421266" w:rsidRPr="00421266" w:rsidRDefault="00421266" w:rsidP="00421266">
            <w:pPr>
              <w:numPr>
                <w:ilvl w:val="0"/>
                <w:numId w:val="15"/>
              </w:numPr>
              <w:spacing w:before="100" w:beforeAutospacing="1" w:after="100" w:afterAutospacing="1" w:line="240" w:lineRule="auto"/>
              <w:ind w:left="0"/>
              <w:jc w:val="both"/>
              <w:rPr>
                <w:rFonts w:cstheme="minorHAnsi"/>
                <w:sz w:val="24"/>
                <w:szCs w:val="24"/>
              </w:rPr>
            </w:pPr>
            <w:r w:rsidRPr="00421266">
              <w:rPr>
                <w:rFonts w:cstheme="minorHAnsi"/>
                <w:sz w:val="24"/>
                <w:szCs w:val="24"/>
              </w:rPr>
              <w:t>Cumulative valuation of start</w:t>
            </w:r>
          </w:p>
          <w:p w:rsidR="00421266" w:rsidRPr="00421266" w:rsidRDefault="00421266" w:rsidP="00421266">
            <w:pPr>
              <w:numPr>
                <w:ilvl w:val="0"/>
                <w:numId w:val="15"/>
              </w:numPr>
              <w:spacing w:before="100" w:beforeAutospacing="1" w:after="100" w:afterAutospacing="1" w:line="240" w:lineRule="auto"/>
              <w:ind w:left="0"/>
              <w:jc w:val="both"/>
              <w:rPr>
                <w:rFonts w:cstheme="minorHAnsi"/>
                <w:sz w:val="24"/>
                <w:szCs w:val="24"/>
              </w:rPr>
            </w:pPr>
            <w:r w:rsidRPr="00421266">
              <w:rPr>
                <w:rFonts w:cstheme="minorHAnsi"/>
                <w:sz w:val="24"/>
                <w:szCs w:val="24"/>
              </w:rPr>
              <w:t>ups is more than 750</w:t>
            </w:r>
          </w:p>
          <w:p w:rsidR="00421266" w:rsidRPr="00421266" w:rsidRDefault="00421266">
            <w:pPr>
              <w:pStyle w:val="NormalWeb"/>
              <w:spacing w:before="0" w:beforeAutospacing="0" w:after="120" w:afterAutospacing="0"/>
              <w:ind w:left="454"/>
              <w:jc w:val="both"/>
              <w:rPr>
                <w:rFonts w:asciiTheme="minorHAnsi" w:hAnsiTheme="minorHAnsi" w:cstheme="minorHAnsi"/>
              </w:rPr>
            </w:pPr>
            <w:r w:rsidRPr="00421266">
              <w:rPr>
                <w:rFonts w:asciiTheme="minorHAnsi" w:hAnsiTheme="minorHAnsi" w:cstheme="minorHAnsi"/>
              </w:rPr>
              <w:t>Cr.</w:t>
            </w:r>
          </w:p>
        </w:tc>
      </w:tr>
      <w:tr w:rsidR="00421266" w:rsidRPr="00421266" w:rsidTr="00122A18">
        <w:trPr>
          <w:jc w:val="center"/>
        </w:trPr>
        <w:tc>
          <w:tcPr>
            <w:tcW w:w="1741"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rPr>
            </w:pPr>
            <w:r w:rsidRPr="00421266">
              <w:rPr>
                <w:rStyle w:val="Strong"/>
                <w:rFonts w:asciiTheme="minorHAnsi" w:hAnsiTheme="minorHAnsi" w:cstheme="minorHAnsi"/>
              </w:rPr>
              <w:t>LEAP Fund</w:t>
            </w:r>
          </w:p>
        </w:tc>
        <w:tc>
          <w:tcPr>
            <w:tcW w:w="1611"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1"/>
              <w:jc w:val="both"/>
              <w:rPr>
                <w:rFonts w:asciiTheme="minorHAnsi" w:hAnsiTheme="minorHAnsi" w:cstheme="minorHAnsi"/>
              </w:rPr>
            </w:pPr>
            <w:r w:rsidRPr="00421266">
              <w:rPr>
                <w:rFonts w:asciiTheme="minorHAnsi" w:hAnsiTheme="minorHAnsi" w:cstheme="minorHAnsi"/>
              </w:rPr>
              <w:t>Equity funding</w:t>
            </w:r>
          </w:p>
        </w:tc>
        <w:tc>
          <w:tcPr>
            <w:tcW w:w="1745"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9"/>
              <w:jc w:val="both"/>
              <w:rPr>
                <w:rFonts w:asciiTheme="minorHAnsi" w:hAnsiTheme="minorHAnsi" w:cstheme="minorHAnsi"/>
              </w:rPr>
            </w:pPr>
            <w:r w:rsidRPr="00421266">
              <w:rPr>
                <w:rFonts w:asciiTheme="minorHAnsi" w:hAnsiTheme="minorHAnsi" w:cstheme="minorHAnsi"/>
              </w:rPr>
              <w:t>Start ups&amp; SMEs</w:t>
            </w:r>
          </w:p>
        </w:tc>
        <w:tc>
          <w:tcPr>
            <w:tcW w:w="120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rPr>
            </w:pPr>
            <w:r w:rsidRPr="00421266">
              <w:rPr>
                <w:rFonts w:asciiTheme="minorHAnsi" w:hAnsiTheme="minorHAnsi" w:cstheme="minorHAnsi"/>
              </w:rPr>
              <w:t>24.50</w:t>
            </w:r>
          </w:p>
        </w:tc>
        <w:tc>
          <w:tcPr>
            <w:tcW w:w="2513" w:type="dxa"/>
            <w:shd w:val="clear" w:color="auto" w:fill="auto"/>
            <w:tcMar>
              <w:top w:w="96" w:type="dxa"/>
              <w:left w:w="96" w:type="dxa"/>
              <w:bottom w:w="96" w:type="dxa"/>
              <w:right w:w="96" w:type="dxa"/>
            </w:tcMar>
            <w:hideMark/>
          </w:tcPr>
          <w:p w:rsidR="00421266" w:rsidRPr="00421266" w:rsidRDefault="00421266" w:rsidP="00421266">
            <w:pPr>
              <w:numPr>
                <w:ilvl w:val="0"/>
                <w:numId w:val="16"/>
              </w:numPr>
              <w:spacing w:before="100" w:beforeAutospacing="1" w:after="100" w:afterAutospacing="1" w:line="240" w:lineRule="auto"/>
              <w:ind w:left="0"/>
              <w:jc w:val="both"/>
              <w:rPr>
                <w:rFonts w:cstheme="minorHAnsi"/>
                <w:sz w:val="24"/>
                <w:szCs w:val="24"/>
              </w:rPr>
            </w:pPr>
            <w:r w:rsidRPr="00421266">
              <w:rPr>
                <w:rFonts w:cstheme="minorHAnsi"/>
                <w:sz w:val="24"/>
                <w:szCs w:val="24"/>
              </w:rPr>
              <w:t xml:space="preserve">6 </w:t>
            </w:r>
            <w:proofErr w:type="spellStart"/>
            <w:r w:rsidRPr="00421266">
              <w:rPr>
                <w:rFonts w:cstheme="minorHAnsi"/>
                <w:sz w:val="24"/>
                <w:szCs w:val="24"/>
              </w:rPr>
              <w:t>BioNEST</w:t>
            </w:r>
            <w:proofErr w:type="spellEnd"/>
            <w:r w:rsidRPr="00421266">
              <w:rPr>
                <w:rFonts w:cstheme="minorHAnsi"/>
                <w:sz w:val="24"/>
                <w:szCs w:val="24"/>
              </w:rPr>
              <w:t xml:space="preserve"> Incubators engaged as LEAP Fund Partners</w:t>
            </w:r>
          </w:p>
          <w:p w:rsidR="00421266" w:rsidRPr="00421266" w:rsidRDefault="00421266" w:rsidP="00421266">
            <w:pPr>
              <w:numPr>
                <w:ilvl w:val="0"/>
                <w:numId w:val="16"/>
              </w:numPr>
              <w:spacing w:before="100" w:beforeAutospacing="1" w:after="100" w:afterAutospacing="1" w:line="240" w:lineRule="auto"/>
              <w:ind w:left="0"/>
              <w:jc w:val="both"/>
              <w:rPr>
                <w:rFonts w:cstheme="minorHAnsi"/>
                <w:sz w:val="24"/>
                <w:szCs w:val="24"/>
              </w:rPr>
            </w:pPr>
            <w:r w:rsidRPr="00421266">
              <w:rPr>
                <w:rFonts w:cstheme="minorHAnsi"/>
                <w:sz w:val="24"/>
                <w:szCs w:val="24"/>
              </w:rPr>
              <w:t>10 start ups supported</w:t>
            </w:r>
          </w:p>
          <w:p w:rsidR="00421266" w:rsidRPr="00421266" w:rsidRDefault="00421266" w:rsidP="00421266">
            <w:pPr>
              <w:numPr>
                <w:ilvl w:val="0"/>
                <w:numId w:val="16"/>
              </w:numPr>
              <w:spacing w:before="100" w:beforeAutospacing="1" w:after="100" w:afterAutospacing="1" w:line="240" w:lineRule="auto"/>
              <w:ind w:left="0"/>
              <w:jc w:val="both"/>
              <w:rPr>
                <w:rFonts w:cstheme="minorHAnsi"/>
                <w:sz w:val="24"/>
                <w:szCs w:val="24"/>
              </w:rPr>
            </w:pPr>
            <w:r w:rsidRPr="00421266">
              <w:rPr>
                <w:rFonts w:cstheme="minorHAnsi"/>
                <w:sz w:val="24"/>
                <w:szCs w:val="24"/>
              </w:rPr>
              <w:t xml:space="preserve">More than 50% companies have been able to raise external </w:t>
            </w:r>
            <w:r w:rsidRPr="00421266">
              <w:rPr>
                <w:rFonts w:cstheme="minorHAnsi"/>
                <w:sz w:val="24"/>
                <w:szCs w:val="24"/>
              </w:rPr>
              <w:lastRenderedPageBreak/>
              <w:t>source of funding from Angel, VC, other sources</w:t>
            </w:r>
          </w:p>
        </w:tc>
      </w:tr>
      <w:tr w:rsidR="00421266" w:rsidRPr="00421266" w:rsidTr="00122A18">
        <w:trPr>
          <w:jc w:val="center"/>
        </w:trPr>
        <w:tc>
          <w:tcPr>
            <w:tcW w:w="1741"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rPr>
            </w:pPr>
            <w:proofErr w:type="spellStart"/>
            <w:r w:rsidRPr="00421266">
              <w:rPr>
                <w:rStyle w:val="Strong"/>
                <w:rFonts w:asciiTheme="minorHAnsi" w:hAnsiTheme="minorHAnsi" w:cstheme="minorHAnsi"/>
              </w:rPr>
              <w:lastRenderedPageBreak/>
              <w:t>ACEFund</w:t>
            </w:r>
            <w:proofErr w:type="spellEnd"/>
          </w:p>
        </w:tc>
        <w:tc>
          <w:tcPr>
            <w:tcW w:w="1611"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1"/>
              <w:jc w:val="both"/>
              <w:rPr>
                <w:rFonts w:asciiTheme="minorHAnsi" w:hAnsiTheme="minorHAnsi" w:cstheme="minorHAnsi"/>
              </w:rPr>
            </w:pPr>
            <w:r w:rsidRPr="00421266">
              <w:rPr>
                <w:rFonts w:asciiTheme="minorHAnsi" w:hAnsiTheme="minorHAnsi" w:cstheme="minorHAnsi"/>
              </w:rPr>
              <w:t>Equity Funding</w:t>
            </w:r>
          </w:p>
        </w:tc>
        <w:tc>
          <w:tcPr>
            <w:tcW w:w="1745"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9" w:right="239"/>
              <w:jc w:val="both"/>
              <w:rPr>
                <w:rFonts w:asciiTheme="minorHAnsi" w:hAnsiTheme="minorHAnsi" w:cstheme="minorHAnsi"/>
              </w:rPr>
            </w:pPr>
            <w:r w:rsidRPr="00421266">
              <w:rPr>
                <w:rFonts w:asciiTheme="minorHAnsi" w:hAnsiTheme="minorHAnsi" w:cstheme="minorHAnsi"/>
              </w:rPr>
              <w:t>Start Ups, SMEs and large companies</w:t>
            </w:r>
          </w:p>
        </w:tc>
        <w:tc>
          <w:tcPr>
            <w:tcW w:w="120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66"/>
              <w:jc w:val="both"/>
              <w:rPr>
                <w:rFonts w:asciiTheme="minorHAnsi" w:hAnsiTheme="minorHAnsi" w:cstheme="minorHAnsi"/>
              </w:rPr>
            </w:pPr>
            <w:r w:rsidRPr="00421266">
              <w:rPr>
                <w:rFonts w:asciiTheme="minorHAnsi" w:hAnsiTheme="minorHAnsi" w:cstheme="minorHAnsi"/>
              </w:rPr>
              <w:t>62.00</w:t>
            </w:r>
          </w:p>
        </w:tc>
        <w:tc>
          <w:tcPr>
            <w:tcW w:w="2513" w:type="dxa"/>
            <w:shd w:val="clear" w:color="auto" w:fill="auto"/>
            <w:tcMar>
              <w:top w:w="96" w:type="dxa"/>
              <w:left w:w="96" w:type="dxa"/>
              <w:bottom w:w="96" w:type="dxa"/>
              <w:right w:w="96" w:type="dxa"/>
            </w:tcMar>
            <w:hideMark/>
          </w:tcPr>
          <w:p w:rsidR="00421266" w:rsidRPr="00421266" w:rsidRDefault="00421266" w:rsidP="00421266">
            <w:pPr>
              <w:numPr>
                <w:ilvl w:val="0"/>
                <w:numId w:val="17"/>
              </w:numPr>
              <w:spacing w:before="100" w:beforeAutospacing="1" w:after="100" w:afterAutospacing="1" w:line="240" w:lineRule="auto"/>
              <w:ind w:left="0"/>
              <w:jc w:val="both"/>
              <w:rPr>
                <w:rFonts w:cstheme="minorHAnsi"/>
                <w:sz w:val="24"/>
                <w:szCs w:val="24"/>
              </w:rPr>
            </w:pPr>
            <w:r w:rsidRPr="00421266">
              <w:rPr>
                <w:rFonts w:cstheme="minorHAnsi"/>
                <w:sz w:val="24"/>
                <w:szCs w:val="24"/>
              </w:rPr>
              <w:t xml:space="preserve">Fund size: INR 150 </w:t>
            </w:r>
            <w:proofErr w:type="spellStart"/>
            <w:r w:rsidRPr="00421266">
              <w:rPr>
                <w:rFonts w:cstheme="minorHAnsi"/>
                <w:sz w:val="24"/>
                <w:szCs w:val="24"/>
              </w:rPr>
              <w:t>crore</w:t>
            </w:r>
            <w:proofErr w:type="spellEnd"/>
          </w:p>
          <w:p w:rsidR="00421266" w:rsidRPr="00421266" w:rsidRDefault="00421266" w:rsidP="00421266">
            <w:pPr>
              <w:numPr>
                <w:ilvl w:val="0"/>
                <w:numId w:val="17"/>
              </w:numPr>
              <w:spacing w:before="100" w:beforeAutospacing="1" w:after="100" w:afterAutospacing="1" w:line="240" w:lineRule="auto"/>
              <w:ind w:left="0"/>
              <w:jc w:val="both"/>
              <w:rPr>
                <w:rFonts w:cstheme="minorHAnsi"/>
                <w:sz w:val="24"/>
                <w:szCs w:val="24"/>
              </w:rPr>
            </w:pPr>
            <w:r w:rsidRPr="00421266">
              <w:rPr>
                <w:rFonts w:cstheme="minorHAnsi"/>
                <w:sz w:val="24"/>
                <w:szCs w:val="24"/>
              </w:rPr>
              <w:t>Number of ACE Daughter Funds:6</w:t>
            </w:r>
          </w:p>
          <w:p w:rsidR="00421266" w:rsidRPr="00421266" w:rsidRDefault="00421266" w:rsidP="00421266">
            <w:pPr>
              <w:numPr>
                <w:ilvl w:val="0"/>
                <w:numId w:val="17"/>
              </w:numPr>
              <w:spacing w:before="100" w:beforeAutospacing="1" w:after="100" w:afterAutospacing="1" w:line="240" w:lineRule="auto"/>
              <w:ind w:left="0"/>
              <w:jc w:val="both"/>
              <w:rPr>
                <w:rFonts w:cstheme="minorHAnsi"/>
                <w:sz w:val="24"/>
                <w:szCs w:val="24"/>
              </w:rPr>
            </w:pPr>
            <w:r w:rsidRPr="00421266">
              <w:rPr>
                <w:rFonts w:cstheme="minorHAnsi"/>
                <w:sz w:val="24"/>
                <w:szCs w:val="24"/>
              </w:rPr>
              <w:t>Committed in ACE Daughter Funds: INR</w:t>
            </w:r>
          </w:p>
          <w:p w:rsidR="00421266" w:rsidRPr="00421266" w:rsidRDefault="00421266">
            <w:pPr>
              <w:pStyle w:val="NormalWeb"/>
              <w:spacing w:before="0" w:beforeAutospacing="0" w:after="120" w:afterAutospacing="0"/>
              <w:ind w:left="454"/>
              <w:jc w:val="both"/>
              <w:rPr>
                <w:rFonts w:asciiTheme="minorHAnsi" w:hAnsiTheme="minorHAnsi" w:cstheme="minorHAnsi"/>
              </w:rPr>
            </w:pPr>
            <w:r w:rsidRPr="00421266">
              <w:rPr>
                <w:rFonts w:asciiTheme="minorHAnsi" w:hAnsiTheme="minorHAnsi" w:cstheme="minorHAnsi"/>
              </w:rPr>
              <w:t>82crores</w:t>
            </w:r>
          </w:p>
        </w:tc>
      </w:tr>
    </w:tbl>
    <w:p w:rsidR="00421266" w:rsidRPr="00421266"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421266">
        <w:rPr>
          <w:rFonts w:asciiTheme="minorHAnsi" w:hAnsiTheme="minorHAnsi" w:cstheme="minorHAnsi"/>
          <w:color w:val="333333"/>
        </w:rPr>
        <w:t> </w:t>
      </w:r>
    </w:p>
    <w:p w:rsidR="00421266" w:rsidRPr="00421266" w:rsidRDefault="00421266" w:rsidP="00421266">
      <w:pPr>
        <w:pStyle w:val="NormalWeb"/>
        <w:shd w:val="clear" w:color="auto" w:fill="FFFFFF"/>
        <w:spacing w:before="0" w:beforeAutospacing="0" w:after="120" w:afterAutospacing="0"/>
        <w:ind w:left="100" w:right="126"/>
        <w:jc w:val="both"/>
        <w:rPr>
          <w:rFonts w:asciiTheme="minorHAnsi" w:hAnsiTheme="minorHAnsi" w:cstheme="minorHAnsi"/>
          <w:color w:val="333333"/>
        </w:rPr>
      </w:pPr>
      <w:r w:rsidRPr="00421266">
        <w:rPr>
          <w:rStyle w:val="Strong"/>
          <w:rFonts w:asciiTheme="minorHAnsi" w:hAnsiTheme="minorHAnsi" w:cstheme="minorHAnsi"/>
          <w:color w:val="333333"/>
        </w:rPr>
        <w:t xml:space="preserve">i4 (Intensifying the Impact of Industrial Innovation) </w:t>
      </w:r>
      <w:proofErr w:type="spellStart"/>
      <w:r w:rsidRPr="00421266">
        <w:rPr>
          <w:rStyle w:val="Strong"/>
          <w:rFonts w:asciiTheme="minorHAnsi" w:hAnsiTheme="minorHAnsi" w:cstheme="minorHAnsi"/>
          <w:color w:val="333333"/>
        </w:rPr>
        <w:t>programme</w:t>
      </w:r>
      <w:proofErr w:type="spellEnd"/>
      <w:r w:rsidRPr="00421266">
        <w:rPr>
          <w:rStyle w:val="Strong"/>
          <w:rFonts w:asciiTheme="minorHAnsi" w:hAnsiTheme="minorHAnsi" w:cstheme="minorHAnsi"/>
          <w:color w:val="333333"/>
        </w:rPr>
        <w:t> </w:t>
      </w:r>
      <w:r w:rsidRPr="00421266">
        <w:rPr>
          <w:rFonts w:asciiTheme="minorHAnsi" w:hAnsiTheme="minorHAnsi" w:cstheme="minorHAnsi"/>
          <w:color w:val="333333"/>
        </w:rPr>
        <w:t xml:space="preserve">supports biotechnological product/technology development by strengthening R&amp;D capabilities of start-ups/ companies/Limited Liability Partnerships (LLPs). The </w:t>
      </w:r>
      <w:proofErr w:type="spellStart"/>
      <w:r w:rsidRPr="00421266">
        <w:rPr>
          <w:rFonts w:asciiTheme="minorHAnsi" w:hAnsiTheme="minorHAnsi" w:cstheme="minorHAnsi"/>
          <w:color w:val="333333"/>
        </w:rPr>
        <w:t>programme</w:t>
      </w:r>
      <w:proofErr w:type="spellEnd"/>
      <w:r w:rsidRPr="00421266">
        <w:rPr>
          <w:rFonts w:asciiTheme="minorHAnsi" w:hAnsiTheme="minorHAnsi" w:cstheme="minorHAnsi"/>
          <w:color w:val="333333"/>
        </w:rPr>
        <w:t xml:space="preserve"> is operated through two schemes based on the Technology Readiness Level (TRL):</w:t>
      </w:r>
    </w:p>
    <w:p w:rsidR="00421266" w:rsidRPr="00421266" w:rsidRDefault="00421266" w:rsidP="00421266">
      <w:pPr>
        <w:numPr>
          <w:ilvl w:val="0"/>
          <w:numId w:val="18"/>
        </w:numPr>
        <w:shd w:val="clear" w:color="auto" w:fill="FFFFFF"/>
        <w:spacing w:before="100" w:beforeAutospacing="1" w:after="100" w:afterAutospacing="1" w:line="240" w:lineRule="auto"/>
        <w:rPr>
          <w:rFonts w:cstheme="minorHAnsi"/>
          <w:color w:val="333333"/>
          <w:sz w:val="24"/>
          <w:szCs w:val="24"/>
        </w:rPr>
      </w:pPr>
    </w:p>
    <w:p w:rsidR="00421266" w:rsidRPr="00421266" w:rsidRDefault="00421266" w:rsidP="00421266">
      <w:pPr>
        <w:numPr>
          <w:ilvl w:val="1"/>
          <w:numId w:val="18"/>
        </w:numPr>
        <w:shd w:val="clear" w:color="auto" w:fill="FFFFFF"/>
        <w:spacing w:before="100" w:beforeAutospacing="1" w:after="100" w:afterAutospacing="1" w:line="240" w:lineRule="auto"/>
        <w:jc w:val="both"/>
        <w:rPr>
          <w:rFonts w:cstheme="minorHAnsi"/>
          <w:color w:val="333333"/>
          <w:sz w:val="24"/>
          <w:szCs w:val="24"/>
        </w:rPr>
      </w:pPr>
      <w:r w:rsidRPr="00421266">
        <w:rPr>
          <w:rStyle w:val="Strong"/>
          <w:rFonts w:cstheme="minorHAnsi"/>
          <w:color w:val="333333"/>
          <w:sz w:val="24"/>
          <w:szCs w:val="24"/>
        </w:rPr>
        <w:t>Small Business Innovation Research Initiative (SBIRI): </w:t>
      </w:r>
      <w:r w:rsidRPr="00421266">
        <w:rPr>
          <w:rFonts w:cstheme="minorHAnsi"/>
          <w:color w:val="333333"/>
          <w:sz w:val="24"/>
          <w:szCs w:val="24"/>
        </w:rPr>
        <w:t>The scheme was launched in 2005 to boost Public-Private Partnership (PPP) efforts in the country and promotes &amp; facilitates companies to take their established proof of concepts (</w:t>
      </w:r>
      <w:proofErr w:type="spellStart"/>
      <w:r w:rsidRPr="00421266">
        <w:rPr>
          <w:rFonts w:cstheme="minorHAnsi"/>
          <w:color w:val="333333"/>
          <w:sz w:val="24"/>
          <w:szCs w:val="24"/>
        </w:rPr>
        <w:t>PoC</w:t>
      </w:r>
      <w:proofErr w:type="spellEnd"/>
      <w:r w:rsidRPr="00421266">
        <w:rPr>
          <w:rFonts w:cstheme="minorHAnsi"/>
          <w:color w:val="333333"/>
          <w:sz w:val="24"/>
          <w:szCs w:val="24"/>
        </w:rPr>
        <w:t>) towards early stage validation.</w:t>
      </w:r>
    </w:p>
    <w:p w:rsidR="00421266" w:rsidRPr="00421266" w:rsidRDefault="00421266" w:rsidP="00421266">
      <w:pPr>
        <w:pStyle w:val="NormalWeb"/>
        <w:shd w:val="clear" w:color="auto" w:fill="FFFFFF"/>
        <w:spacing w:before="0" w:beforeAutospacing="0" w:after="120" w:afterAutospacing="0"/>
        <w:ind w:left="1540"/>
        <w:jc w:val="both"/>
        <w:rPr>
          <w:rFonts w:asciiTheme="minorHAnsi" w:hAnsiTheme="minorHAnsi" w:cstheme="minorHAnsi"/>
          <w:color w:val="333333"/>
        </w:rPr>
      </w:pPr>
      <w:r w:rsidRPr="00421266">
        <w:rPr>
          <w:rFonts w:asciiTheme="minorHAnsi" w:hAnsiTheme="minorHAnsi" w:cstheme="minorHAnsi"/>
          <w:color w:val="333333"/>
        </w:rPr>
        <w:t>Impact of SBIRI from 2017-till date:</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457"/>
        <w:gridCol w:w="2588"/>
      </w:tblGrid>
      <w:tr w:rsidR="00421266" w:rsidRPr="00421266" w:rsidTr="00421266">
        <w:trPr>
          <w:jc w:val="center"/>
        </w:trPr>
        <w:tc>
          <w:tcPr>
            <w:tcW w:w="5670" w:type="dxa"/>
            <w:gridSpan w:val="2"/>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2485" w:right="2481"/>
              <w:jc w:val="both"/>
              <w:rPr>
                <w:rFonts w:asciiTheme="minorHAnsi" w:hAnsiTheme="minorHAnsi" w:cstheme="minorHAnsi"/>
              </w:rPr>
            </w:pPr>
            <w:r w:rsidRPr="00421266">
              <w:rPr>
                <w:rStyle w:val="Strong"/>
                <w:rFonts w:asciiTheme="minorHAnsi" w:hAnsiTheme="minorHAnsi" w:cstheme="minorHAnsi"/>
              </w:rPr>
              <w:t>SBIRI</w:t>
            </w:r>
          </w:p>
        </w:tc>
      </w:tr>
      <w:tr w:rsidR="00421266" w:rsidRPr="00421266" w:rsidTr="00421266">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Calls Announced</w:t>
            </w:r>
          </w:p>
        </w:tc>
        <w:tc>
          <w:tcPr>
            <w:tcW w:w="182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10</w:t>
            </w:r>
          </w:p>
        </w:tc>
      </w:tr>
      <w:tr w:rsidR="00421266" w:rsidRPr="00421266" w:rsidTr="00421266">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Projects Supported</w:t>
            </w:r>
          </w:p>
        </w:tc>
        <w:tc>
          <w:tcPr>
            <w:tcW w:w="182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122</w:t>
            </w:r>
          </w:p>
        </w:tc>
      </w:tr>
      <w:tr w:rsidR="00421266" w:rsidRPr="00421266" w:rsidTr="00421266">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Funds Dispersed</w:t>
            </w:r>
          </w:p>
        </w:tc>
        <w:tc>
          <w:tcPr>
            <w:tcW w:w="182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20.54 Cr</w:t>
            </w:r>
          </w:p>
        </w:tc>
      </w:tr>
      <w:tr w:rsidR="00421266" w:rsidRPr="00421266" w:rsidTr="00421266">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Beneficiaries Supported</w:t>
            </w:r>
          </w:p>
        </w:tc>
        <w:tc>
          <w:tcPr>
            <w:tcW w:w="182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144</w:t>
            </w:r>
          </w:p>
        </w:tc>
      </w:tr>
      <w:tr w:rsidR="00421266" w:rsidRPr="00421266" w:rsidTr="00421266">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Products developed</w:t>
            </w:r>
          </w:p>
        </w:tc>
        <w:tc>
          <w:tcPr>
            <w:tcW w:w="182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21</w:t>
            </w:r>
          </w:p>
        </w:tc>
      </w:tr>
      <w:tr w:rsidR="00421266" w:rsidRPr="00421266" w:rsidTr="00421266">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Products Commercialized</w:t>
            </w:r>
          </w:p>
        </w:tc>
        <w:tc>
          <w:tcPr>
            <w:tcW w:w="182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15</w:t>
            </w:r>
          </w:p>
        </w:tc>
      </w:tr>
      <w:tr w:rsidR="00421266" w:rsidRPr="00421266" w:rsidTr="00421266">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Patents Filed</w:t>
            </w:r>
          </w:p>
        </w:tc>
        <w:tc>
          <w:tcPr>
            <w:tcW w:w="182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28</w:t>
            </w:r>
          </w:p>
        </w:tc>
      </w:tr>
    </w:tbl>
    <w:p w:rsidR="00421266" w:rsidRPr="00421266"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421266">
        <w:rPr>
          <w:rFonts w:asciiTheme="minorHAnsi" w:hAnsiTheme="minorHAnsi" w:cstheme="minorHAnsi"/>
          <w:color w:val="333333"/>
        </w:rPr>
        <w:t> </w:t>
      </w:r>
    </w:p>
    <w:p w:rsidR="00421266" w:rsidRPr="00421266" w:rsidRDefault="00421266" w:rsidP="00421266">
      <w:pPr>
        <w:numPr>
          <w:ilvl w:val="0"/>
          <w:numId w:val="19"/>
        </w:numPr>
        <w:shd w:val="clear" w:color="auto" w:fill="FFFFFF"/>
        <w:spacing w:before="100" w:beforeAutospacing="1" w:after="100" w:afterAutospacing="1" w:line="240" w:lineRule="auto"/>
        <w:rPr>
          <w:rFonts w:cstheme="minorHAnsi"/>
          <w:color w:val="333333"/>
          <w:sz w:val="24"/>
          <w:szCs w:val="24"/>
        </w:rPr>
      </w:pPr>
    </w:p>
    <w:p w:rsidR="00421266" w:rsidRPr="00421266" w:rsidRDefault="00421266" w:rsidP="00421266">
      <w:pPr>
        <w:numPr>
          <w:ilvl w:val="1"/>
          <w:numId w:val="19"/>
        </w:numPr>
        <w:shd w:val="clear" w:color="auto" w:fill="FFFFFF"/>
        <w:spacing w:before="100" w:beforeAutospacing="1" w:after="100" w:afterAutospacing="1" w:line="240" w:lineRule="auto"/>
        <w:jc w:val="both"/>
        <w:rPr>
          <w:rFonts w:cstheme="minorHAnsi"/>
          <w:color w:val="333333"/>
          <w:sz w:val="24"/>
          <w:szCs w:val="24"/>
        </w:rPr>
      </w:pPr>
      <w:r w:rsidRPr="00421266">
        <w:rPr>
          <w:rStyle w:val="Strong"/>
          <w:rFonts w:cstheme="minorHAnsi"/>
          <w:color w:val="333333"/>
          <w:sz w:val="24"/>
          <w:szCs w:val="24"/>
        </w:rPr>
        <w:t xml:space="preserve">Biotechnology Industry Partnership </w:t>
      </w:r>
      <w:proofErr w:type="spellStart"/>
      <w:r w:rsidRPr="00421266">
        <w:rPr>
          <w:rStyle w:val="Strong"/>
          <w:rFonts w:cstheme="minorHAnsi"/>
          <w:color w:val="333333"/>
          <w:sz w:val="24"/>
          <w:szCs w:val="24"/>
        </w:rPr>
        <w:t>Programme</w:t>
      </w:r>
      <w:proofErr w:type="spellEnd"/>
      <w:r w:rsidRPr="00421266">
        <w:rPr>
          <w:rStyle w:val="Strong"/>
          <w:rFonts w:cstheme="minorHAnsi"/>
          <w:color w:val="333333"/>
          <w:sz w:val="24"/>
          <w:szCs w:val="24"/>
        </w:rPr>
        <w:t xml:space="preserve"> (BIPP)</w:t>
      </w:r>
      <w:proofErr w:type="gramStart"/>
      <w:r w:rsidRPr="00421266">
        <w:rPr>
          <w:rStyle w:val="Strong"/>
          <w:rFonts w:cstheme="minorHAnsi"/>
          <w:color w:val="333333"/>
          <w:sz w:val="24"/>
          <w:szCs w:val="24"/>
        </w:rPr>
        <w:t>:</w:t>
      </w:r>
      <w:r w:rsidRPr="00421266">
        <w:rPr>
          <w:rFonts w:cstheme="minorHAnsi"/>
          <w:color w:val="333333"/>
          <w:sz w:val="24"/>
          <w:szCs w:val="24"/>
        </w:rPr>
        <w:t>BIPP</w:t>
      </w:r>
      <w:proofErr w:type="gramEnd"/>
      <w:r w:rsidRPr="00421266">
        <w:rPr>
          <w:rFonts w:cstheme="minorHAnsi"/>
          <w:color w:val="333333"/>
          <w:sz w:val="24"/>
          <w:szCs w:val="24"/>
        </w:rPr>
        <w:t xml:space="preserve"> is BIRACs Flagship “Late Stage Funding” scheme. </w:t>
      </w:r>
      <w:r w:rsidRPr="00421266">
        <w:rPr>
          <w:rFonts w:cstheme="minorHAnsi"/>
          <w:color w:val="0D0D0D"/>
          <w:sz w:val="24"/>
          <w:szCs w:val="24"/>
        </w:rPr>
        <w:t>It is a public-private partnership scheme that promotes innovative research for development of transformational technologies/processes in the Biotech Sector. The Scheme serves as a launch pad for scaling and commercializing high risk innovations through cost sharing between BIRAC and the industry. No incremental development is supported under BIPP.</w:t>
      </w:r>
    </w:p>
    <w:p w:rsidR="00421266" w:rsidRPr="00421266" w:rsidRDefault="00421266" w:rsidP="00421266">
      <w:pPr>
        <w:pStyle w:val="NormalWeb"/>
        <w:shd w:val="clear" w:color="auto" w:fill="FFFFFF"/>
        <w:spacing w:before="0" w:beforeAutospacing="0" w:after="120" w:afterAutospacing="0"/>
        <w:ind w:left="1180"/>
        <w:jc w:val="both"/>
        <w:rPr>
          <w:rFonts w:asciiTheme="minorHAnsi" w:hAnsiTheme="minorHAnsi" w:cstheme="minorHAnsi"/>
          <w:color w:val="333333"/>
        </w:rPr>
      </w:pPr>
      <w:r w:rsidRPr="00421266">
        <w:rPr>
          <w:rFonts w:asciiTheme="minorHAnsi" w:hAnsiTheme="minorHAnsi" w:cstheme="minorHAnsi"/>
          <w:color w:val="0D0D0D"/>
        </w:rPr>
        <w:t>Impact of BIPP from 2017-till date:</w:t>
      </w:r>
    </w:p>
    <w:p w:rsidR="00421266" w:rsidRPr="00421266"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421266">
        <w:rPr>
          <w:rFonts w:asciiTheme="minorHAnsi" w:hAnsiTheme="minorHAnsi" w:cstheme="minorHAnsi"/>
          <w:color w:val="333333"/>
        </w:rPr>
        <w:t> </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489"/>
        <w:gridCol w:w="2556"/>
      </w:tblGrid>
      <w:tr w:rsidR="00421266" w:rsidRPr="00421266" w:rsidTr="00122A18">
        <w:trPr>
          <w:jc w:val="center"/>
        </w:trPr>
        <w:tc>
          <w:tcPr>
            <w:tcW w:w="5673" w:type="dxa"/>
            <w:gridSpan w:val="2"/>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2541" w:right="2535"/>
              <w:jc w:val="both"/>
              <w:rPr>
                <w:rFonts w:asciiTheme="minorHAnsi" w:hAnsiTheme="minorHAnsi" w:cstheme="minorHAnsi"/>
              </w:rPr>
            </w:pPr>
            <w:r w:rsidRPr="00421266">
              <w:rPr>
                <w:rStyle w:val="Strong"/>
                <w:rFonts w:asciiTheme="minorHAnsi" w:hAnsiTheme="minorHAnsi" w:cstheme="minorHAnsi"/>
              </w:rPr>
              <w:t>BIPP</w:t>
            </w:r>
          </w:p>
        </w:tc>
      </w:tr>
      <w:tr w:rsidR="00421266" w:rsidRPr="00421266" w:rsidTr="00122A18">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Calls Announced</w:t>
            </w:r>
          </w:p>
        </w:tc>
        <w:tc>
          <w:tcPr>
            <w:tcW w:w="1827"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10</w:t>
            </w:r>
          </w:p>
        </w:tc>
      </w:tr>
      <w:tr w:rsidR="00421266" w:rsidRPr="00421266" w:rsidTr="00122A18">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Projects Supported</w:t>
            </w:r>
          </w:p>
        </w:tc>
        <w:tc>
          <w:tcPr>
            <w:tcW w:w="1827"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91</w:t>
            </w:r>
          </w:p>
        </w:tc>
      </w:tr>
      <w:tr w:rsidR="00421266" w:rsidRPr="00421266" w:rsidTr="00122A18">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Funds Dispersed</w:t>
            </w:r>
          </w:p>
        </w:tc>
        <w:tc>
          <w:tcPr>
            <w:tcW w:w="1827"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77.17 Cr</w:t>
            </w:r>
          </w:p>
        </w:tc>
      </w:tr>
      <w:tr w:rsidR="00421266" w:rsidRPr="00421266" w:rsidTr="00122A18">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Beneficiaries Supported</w:t>
            </w:r>
          </w:p>
        </w:tc>
        <w:tc>
          <w:tcPr>
            <w:tcW w:w="1827"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115</w:t>
            </w:r>
          </w:p>
        </w:tc>
      </w:tr>
      <w:tr w:rsidR="00421266" w:rsidRPr="00421266" w:rsidTr="00122A18">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Products developed</w:t>
            </w:r>
          </w:p>
        </w:tc>
        <w:tc>
          <w:tcPr>
            <w:tcW w:w="1827"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25</w:t>
            </w:r>
          </w:p>
        </w:tc>
      </w:tr>
      <w:tr w:rsidR="00421266" w:rsidRPr="00421266" w:rsidTr="00122A18">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Products Commercialized</w:t>
            </w:r>
          </w:p>
        </w:tc>
        <w:tc>
          <w:tcPr>
            <w:tcW w:w="1827"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9</w:t>
            </w:r>
          </w:p>
        </w:tc>
      </w:tr>
      <w:tr w:rsidR="00421266" w:rsidRPr="00421266" w:rsidTr="00122A18">
        <w:trPr>
          <w:jc w:val="center"/>
        </w:trPr>
        <w:tc>
          <w:tcPr>
            <w:tcW w:w="384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Patents Filed</w:t>
            </w:r>
          </w:p>
        </w:tc>
        <w:tc>
          <w:tcPr>
            <w:tcW w:w="1827"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10</w:t>
            </w:r>
          </w:p>
        </w:tc>
      </w:tr>
    </w:tbl>
    <w:p w:rsidR="00421266" w:rsidRPr="00421266"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421266">
        <w:rPr>
          <w:rFonts w:asciiTheme="minorHAnsi" w:hAnsiTheme="minorHAnsi" w:cstheme="minorHAnsi"/>
          <w:color w:val="333333"/>
        </w:rPr>
        <w:t> </w:t>
      </w:r>
    </w:p>
    <w:p w:rsidR="00421266" w:rsidRPr="00421266" w:rsidRDefault="00421266" w:rsidP="00421266">
      <w:pPr>
        <w:pStyle w:val="NormalWeb"/>
        <w:shd w:val="clear" w:color="auto" w:fill="FFFFFF"/>
        <w:spacing w:before="0" w:beforeAutospacing="0" w:after="120" w:afterAutospacing="0"/>
        <w:ind w:left="100" w:right="123"/>
        <w:jc w:val="both"/>
        <w:rPr>
          <w:rFonts w:asciiTheme="minorHAnsi" w:hAnsiTheme="minorHAnsi" w:cstheme="minorHAnsi"/>
          <w:color w:val="333333"/>
        </w:rPr>
      </w:pPr>
      <w:r w:rsidRPr="00421266">
        <w:rPr>
          <w:rStyle w:val="Strong"/>
          <w:rFonts w:asciiTheme="minorHAnsi" w:hAnsiTheme="minorHAnsi" w:cstheme="minorHAnsi"/>
          <w:color w:val="333333"/>
        </w:rPr>
        <w:t>Promoting Academic Research Conversion to Enterprise (PACE) Scheme</w:t>
      </w:r>
      <w:r w:rsidRPr="00421266">
        <w:rPr>
          <w:rFonts w:asciiTheme="minorHAnsi" w:hAnsiTheme="minorHAnsi" w:cstheme="minorHAnsi"/>
          <w:color w:val="333333"/>
        </w:rPr>
        <w:t xml:space="preserve">: To encourage/support academia to develop technology/product (up to </w:t>
      </w:r>
      <w:proofErr w:type="spellStart"/>
      <w:r w:rsidRPr="00421266">
        <w:rPr>
          <w:rFonts w:asciiTheme="minorHAnsi" w:hAnsiTheme="minorHAnsi" w:cstheme="minorHAnsi"/>
          <w:color w:val="333333"/>
        </w:rPr>
        <w:t>PoC</w:t>
      </w:r>
      <w:proofErr w:type="spellEnd"/>
      <w:r w:rsidRPr="00421266">
        <w:rPr>
          <w:rFonts w:asciiTheme="minorHAnsi" w:hAnsiTheme="minorHAnsi" w:cstheme="minorHAnsi"/>
          <w:color w:val="333333"/>
        </w:rPr>
        <w:t xml:space="preserve"> stage) and its subsequent validation by an industrial partner.</w:t>
      </w:r>
    </w:p>
    <w:p w:rsidR="00421266" w:rsidRPr="00421266"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421266">
        <w:rPr>
          <w:rFonts w:asciiTheme="minorHAnsi" w:hAnsiTheme="minorHAnsi" w:cstheme="minorHAnsi"/>
          <w:color w:val="333333"/>
        </w:rPr>
        <w:t> </w:t>
      </w:r>
    </w:p>
    <w:p w:rsidR="00421266" w:rsidRPr="00421266" w:rsidRDefault="00421266" w:rsidP="00421266">
      <w:pPr>
        <w:pStyle w:val="NormalWeb"/>
        <w:shd w:val="clear" w:color="auto" w:fill="FFFFFF"/>
        <w:spacing w:before="0" w:beforeAutospacing="0" w:after="120" w:afterAutospacing="0"/>
        <w:ind w:left="820"/>
        <w:jc w:val="both"/>
        <w:rPr>
          <w:rFonts w:asciiTheme="minorHAnsi" w:hAnsiTheme="minorHAnsi" w:cstheme="minorHAnsi"/>
          <w:color w:val="333333"/>
        </w:rPr>
      </w:pPr>
      <w:r w:rsidRPr="00421266">
        <w:rPr>
          <w:rFonts w:asciiTheme="minorHAnsi" w:hAnsiTheme="minorHAnsi" w:cstheme="minorHAnsi"/>
          <w:color w:val="333333"/>
        </w:rPr>
        <w:t>Impact of PACE from 2017-till date:</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447"/>
        <w:gridCol w:w="2598"/>
      </w:tblGrid>
      <w:tr w:rsidR="00421266" w:rsidRPr="00421266" w:rsidTr="00421266">
        <w:trPr>
          <w:jc w:val="center"/>
        </w:trPr>
        <w:tc>
          <w:tcPr>
            <w:tcW w:w="5671" w:type="dxa"/>
            <w:gridSpan w:val="2"/>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2487" w:right="2479"/>
              <w:jc w:val="both"/>
              <w:rPr>
                <w:rFonts w:asciiTheme="minorHAnsi" w:hAnsiTheme="minorHAnsi" w:cstheme="minorHAnsi"/>
              </w:rPr>
            </w:pPr>
            <w:r w:rsidRPr="00421266">
              <w:rPr>
                <w:rStyle w:val="Strong"/>
                <w:rFonts w:asciiTheme="minorHAnsi" w:hAnsiTheme="minorHAnsi" w:cstheme="minorHAnsi"/>
              </w:rPr>
              <w:t>PACE</w:t>
            </w:r>
          </w:p>
        </w:tc>
      </w:tr>
      <w:tr w:rsidR="00421266" w:rsidRPr="00421266" w:rsidTr="00421266">
        <w:trPr>
          <w:jc w:val="center"/>
        </w:trPr>
        <w:tc>
          <w:tcPr>
            <w:tcW w:w="3845"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Projects Supported</w:t>
            </w:r>
          </w:p>
        </w:tc>
        <w:tc>
          <w:tcPr>
            <w:tcW w:w="182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08"/>
              <w:jc w:val="both"/>
              <w:rPr>
                <w:rFonts w:asciiTheme="minorHAnsi" w:hAnsiTheme="minorHAnsi" w:cstheme="minorHAnsi"/>
              </w:rPr>
            </w:pPr>
            <w:r w:rsidRPr="00421266">
              <w:rPr>
                <w:rFonts w:asciiTheme="minorHAnsi" w:hAnsiTheme="minorHAnsi" w:cstheme="minorHAnsi"/>
              </w:rPr>
              <w:t>104</w:t>
            </w:r>
          </w:p>
        </w:tc>
      </w:tr>
      <w:tr w:rsidR="00421266" w:rsidRPr="00421266" w:rsidTr="00421266">
        <w:trPr>
          <w:jc w:val="center"/>
        </w:trPr>
        <w:tc>
          <w:tcPr>
            <w:tcW w:w="3845"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Funds Dispersed</w:t>
            </w:r>
          </w:p>
        </w:tc>
        <w:tc>
          <w:tcPr>
            <w:tcW w:w="182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08"/>
              <w:jc w:val="both"/>
              <w:rPr>
                <w:rFonts w:asciiTheme="minorHAnsi" w:hAnsiTheme="minorHAnsi" w:cstheme="minorHAnsi"/>
              </w:rPr>
            </w:pPr>
            <w:r w:rsidRPr="00421266">
              <w:rPr>
                <w:rFonts w:asciiTheme="minorHAnsi" w:hAnsiTheme="minorHAnsi" w:cstheme="minorHAnsi"/>
              </w:rPr>
              <w:t>32.06 Cr</w:t>
            </w:r>
          </w:p>
        </w:tc>
      </w:tr>
      <w:tr w:rsidR="00421266" w:rsidRPr="00421266" w:rsidTr="00421266">
        <w:trPr>
          <w:jc w:val="center"/>
        </w:trPr>
        <w:tc>
          <w:tcPr>
            <w:tcW w:w="3845"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Beneficiaries Supported</w:t>
            </w:r>
          </w:p>
        </w:tc>
        <w:tc>
          <w:tcPr>
            <w:tcW w:w="182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08"/>
              <w:jc w:val="both"/>
              <w:rPr>
                <w:rFonts w:asciiTheme="minorHAnsi" w:hAnsiTheme="minorHAnsi" w:cstheme="minorHAnsi"/>
              </w:rPr>
            </w:pPr>
            <w:r w:rsidRPr="00421266">
              <w:rPr>
                <w:rFonts w:asciiTheme="minorHAnsi" w:hAnsiTheme="minorHAnsi" w:cstheme="minorHAnsi"/>
              </w:rPr>
              <w:t>118</w:t>
            </w:r>
          </w:p>
        </w:tc>
      </w:tr>
      <w:tr w:rsidR="00421266" w:rsidRPr="00421266" w:rsidTr="00421266">
        <w:trPr>
          <w:jc w:val="center"/>
        </w:trPr>
        <w:tc>
          <w:tcPr>
            <w:tcW w:w="3845"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Products developed</w:t>
            </w:r>
          </w:p>
        </w:tc>
        <w:tc>
          <w:tcPr>
            <w:tcW w:w="182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08"/>
              <w:jc w:val="both"/>
              <w:rPr>
                <w:rFonts w:asciiTheme="minorHAnsi" w:hAnsiTheme="minorHAnsi" w:cstheme="minorHAnsi"/>
              </w:rPr>
            </w:pPr>
            <w:r w:rsidRPr="00421266">
              <w:rPr>
                <w:rFonts w:asciiTheme="minorHAnsi" w:hAnsiTheme="minorHAnsi" w:cstheme="minorHAnsi"/>
              </w:rPr>
              <w:t>4</w:t>
            </w:r>
          </w:p>
        </w:tc>
      </w:tr>
      <w:tr w:rsidR="00421266" w:rsidRPr="00421266" w:rsidTr="00421266">
        <w:trPr>
          <w:jc w:val="center"/>
        </w:trPr>
        <w:tc>
          <w:tcPr>
            <w:tcW w:w="3845"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lastRenderedPageBreak/>
              <w:t>Products Commercialized</w:t>
            </w:r>
          </w:p>
        </w:tc>
        <w:tc>
          <w:tcPr>
            <w:tcW w:w="182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08"/>
              <w:jc w:val="both"/>
              <w:rPr>
                <w:rFonts w:asciiTheme="minorHAnsi" w:hAnsiTheme="minorHAnsi" w:cstheme="minorHAnsi"/>
              </w:rPr>
            </w:pPr>
            <w:r w:rsidRPr="00421266">
              <w:rPr>
                <w:rFonts w:asciiTheme="minorHAnsi" w:hAnsiTheme="minorHAnsi" w:cstheme="minorHAnsi"/>
              </w:rPr>
              <w:t>1</w:t>
            </w:r>
          </w:p>
        </w:tc>
      </w:tr>
      <w:tr w:rsidR="00421266" w:rsidRPr="00421266" w:rsidTr="00421266">
        <w:trPr>
          <w:jc w:val="center"/>
        </w:trPr>
        <w:tc>
          <w:tcPr>
            <w:tcW w:w="3845"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jc w:val="both"/>
              <w:rPr>
                <w:rFonts w:asciiTheme="minorHAnsi" w:hAnsiTheme="minorHAnsi" w:cstheme="minorHAnsi"/>
              </w:rPr>
            </w:pPr>
            <w:r w:rsidRPr="00421266">
              <w:rPr>
                <w:rFonts w:asciiTheme="minorHAnsi" w:hAnsiTheme="minorHAnsi" w:cstheme="minorHAnsi"/>
              </w:rPr>
              <w:t>Patents Filed</w:t>
            </w:r>
          </w:p>
        </w:tc>
        <w:tc>
          <w:tcPr>
            <w:tcW w:w="1826"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08"/>
              <w:jc w:val="both"/>
              <w:rPr>
                <w:rFonts w:asciiTheme="minorHAnsi" w:hAnsiTheme="minorHAnsi" w:cstheme="minorHAnsi"/>
              </w:rPr>
            </w:pPr>
            <w:r w:rsidRPr="00421266">
              <w:rPr>
                <w:rFonts w:asciiTheme="minorHAnsi" w:hAnsiTheme="minorHAnsi" w:cstheme="minorHAnsi"/>
              </w:rPr>
              <w:t>6</w:t>
            </w:r>
          </w:p>
        </w:tc>
      </w:tr>
    </w:tbl>
    <w:p w:rsidR="00421266" w:rsidRPr="00421266"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421266">
        <w:rPr>
          <w:rFonts w:asciiTheme="minorHAnsi" w:hAnsiTheme="minorHAnsi" w:cstheme="minorHAnsi"/>
          <w:color w:val="333333"/>
        </w:rPr>
        <w:t> </w:t>
      </w:r>
    </w:p>
    <w:p w:rsidR="00421266" w:rsidRPr="00421266" w:rsidRDefault="00421266" w:rsidP="00421266">
      <w:pPr>
        <w:pStyle w:val="NormalWeb"/>
        <w:shd w:val="clear" w:color="auto" w:fill="FFFFFF"/>
        <w:spacing w:before="0" w:beforeAutospacing="0" w:after="120" w:afterAutospacing="0"/>
        <w:ind w:left="100" w:right="118"/>
        <w:jc w:val="both"/>
        <w:rPr>
          <w:rFonts w:asciiTheme="minorHAnsi" w:hAnsiTheme="minorHAnsi" w:cstheme="minorHAnsi"/>
          <w:color w:val="333333"/>
        </w:rPr>
      </w:pPr>
      <w:r w:rsidRPr="00421266">
        <w:rPr>
          <w:rStyle w:val="Strong"/>
          <w:rFonts w:asciiTheme="minorHAnsi" w:hAnsiTheme="minorHAnsi" w:cstheme="minorHAnsi"/>
          <w:color w:val="333333"/>
        </w:rPr>
        <w:t>SPARSH is Social Innovation program for Products: </w:t>
      </w:r>
      <w:r w:rsidRPr="00421266">
        <w:rPr>
          <w:rFonts w:asciiTheme="minorHAnsi" w:hAnsiTheme="minorHAnsi" w:cstheme="minorHAnsi"/>
          <w:color w:val="333333"/>
        </w:rPr>
        <w:t xml:space="preserve">Affordable &amp; Relevant to Societal Health aimed at promoting the development of innovative solutions to society’s most pressing social problems through biotechnological approaches. The </w:t>
      </w:r>
      <w:proofErr w:type="spellStart"/>
      <w:r w:rsidRPr="00421266">
        <w:rPr>
          <w:rFonts w:asciiTheme="minorHAnsi" w:hAnsiTheme="minorHAnsi" w:cstheme="minorHAnsi"/>
          <w:color w:val="333333"/>
        </w:rPr>
        <w:t>programme</w:t>
      </w:r>
      <w:proofErr w:type="spellEnd"/>
      <w:r w:rsidRPr="00421266">
        <w:rPr>
          <w:rFonts w:asciiTheme="minorHAnsi" w:hAnsiTheme="minorHAnsi" w:cstheme="minorHAnsi"/>
          <w:color w:val="333333"/>
        </w:rPr>
        <w:t xml:space="preserve"> has already developed clusters across the nation on six thematic areas “Maternal and Child Health” “Ageing and Health” “Food and Nutrition” “</w:t>
      </w:r>
      <w:proofErr w:type="spellStart"/>
      <w:r w:rsidRPr="00421266">
        <w:rPr>
          <w:rFonts w:asciiTheme="minorHAnsi" w:hAnsiTheme="minorHAnsi" w:cstheme="minorHAnsi"/>
          <w:color w:val="333333"/>
        </w:rPr>
        <w:t>Agri</w:t>
      </w:r>
      <w:proofErr w:type="spellEnd"/>
      <w:r w:rsidRPr="00421266">
        <w:rPr>
          <w:rFonts w:asciiTheme="minorHAnsi" w:hAnsiTheme="minorHAnsi" w:cstheme="minorHAnsi"/>
          <w:color w:val="333333"/>
        </w:rPr>
        <w:t xml:space="preserve">-Tech” “Combating Environmental Pollution” and “Waste to Value”. Through these clusters spread across 14 SPARSH </w:t>
      </w:r>
      <w:proofErr w:type="spellStart"/>
      <w:r w:rsidRPr="00421266">
        <w:rPr>
          <w:rFonts w:asciiTheme="minorHAnsi" w:hAnsiTheme="minorHAnsi" w:cstheme="minorHAnsi"/>
          <w:color w:val="333333"/>
        </w:rPr>
        <w:t>centres</w:t>
      </w:r>
      <w:proofErr w:type="spellEnd"/>
      <w:r w:rsidRPr="00421266">
        <w:rPr>
          <w:rFonts w:asciiTheme="minorHAnsi" w:hAnsiTheme="minorHAnsi" w:cstheme="minorHAnsi"/>
          <w:color w:val="333333"/>
        </w:rPr>
        <w:t xml:space="preserve"> in 9 states from India, around 33 Social Innovators are graduated and 70 are currently enrolled.</w:t>
      </w:r>
    </w:p>
    <w:p w:rsidR="00421266" w:rsidRPr="00421266"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421266">
        <w:rPr>
          <w:rFonts w:asciiTheme="minorHAnsi" w:hAnsiTheme="minorHAnsi" w:cstheme="minorHAnsi"/>
          <w:color w:val="333333"/>
        </w:rPr>
        <w:t> </w:t>
      </w:r>
    </w:p>
    <w:p w:rsidR="00421266" w:rsidRPr="00421266" w:rsidRDefault="00421266" w:rsidP="00421266">
      <w:pPr>
        <w:pStyle w:val="NormalWeb"/>
        <w:shd w:val="clear" w:color="auto" w:fill="FFFFFF"/>
        <w:spacing w:before="0" w:beforeAutospacing="0" w:after="120" w:afterAutospacing="0"/>
        <w:ind w:left="1161"/>
        <w:jc w:val="both"/>
        <w:rPr>
          <w:rFonts w:asciiTheme="minorHAnsi" w:hAnsiTheme="minorHAnsi" w:cstheme="minorHAnsi"/>
          <w:color w:val="333333"/>
        </w:rPr>
      </w:pPr>
      <w:r w:rsidRPr="00421266">
        <w:rPr>
          <w:rFonts w:asciiTheme="minorHAnsi" w:hAnsiTheme="minorHAnsi" w:cstheme="minorHAnsi"/>
          <w:color w:val="333333"/>
        </w:rPr>
        <w:t>Impact of SPARSH from 2017-till date:</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3796"/>
        <w:gridCol w:w="4249"/>
      </w:tblGrid>
      <w:tr w:rsidR="00421266" w:rsidRPr="00421266" w:rsidTr="00421266">
        <w:trPr>
          <w:jc w:val="center"/>
        </w:trPr>
        <w:tc>
          <w:tcPr>
            <w:tcW w:w="7214" w:type="dxa"/>
            <w:gridSpan w:val="2"/>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3115" w:right="3092"/>
              <w:jc w:val="both"/>
              <w:rPr>
                <w:rFonts w:asciiTheme="minorHAnsi" w:hAnsiTheme="minorHAnsi" w:cstheme="minorHAnsi"/>
              </w:rPr>
            </w:pPr>
            <w:r w:rsidRPr="00421266">
              <w:rPr>
                <w:rStyle w:val="Strong"/>
                <w:rFonts w:asciiTheme="minorHAnsi" w:hAnsiTheme="minorHAnsi" w:cstheme="minorHAnsi"/>
              </w:rPr>
              <w:t>SPARSH</w:t>
            </w:r>
          </w:p>
        </w:tc>
      </w:tr>
      <w:tr w:rsidR="00421266" w:rsidRPr="00421266" w:rsidTr="00421266">
        <w:trPr>
          <w:jc w:val="center"/>
        </w:trPr>
        <w:tc>
          <w:tcPr>
            <w:tcW w:w="340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6"/>
              <w:jc w:val="both"/>
              <w:rPr>
                <w:rFonts w:asciiTheme="minorHAnsi" w:hAnsiTheme="minorHAnsi" w:cstheme="minorHAnsi"/>
              </w:rPr>
            </w:pPr>
            <w:r w:rsidRPr="00421266">
              <w:rPr>
                <w:rFonts w:asciiTheme="minorHAnsi" w:hAnsiTheme="minorHAnsi" w:cstheme="minorHAnsi"/>
              </w:rPr>
              <w:t>Projects Supported</w:t>
            </w:r>
          </w:p>
        </w:tc>
        <w:tc>
          <w:tcPr>
            <w:tcW w:w="3810"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3"/>
              <w:jc w:val="both"/>
              <w:rPr>
                <w:rFonts w:asciiTheme="minorHAnsi" w:hAnsiTheme="minorHAnsi" w:cstheme="minorHAnsi"/>
              </w:rPr>
            </w:pPr>
            <w:r w:rsidRPr="00421266">
              <w:rPr>
                <w:rFonts w:asciiTheme="minorHAnsi" w:hAnsiTheme="minorHAnsi" w:cstheme="minorHAnsi"/>
              </w:rPr>
              <w:t>57</w:t>
            </w:r>
          </w:p>
        </w:tc>
      </w:tr>
      <w:tr w:rsidR="00421266" w:rsidRPr="00421266" w:rsidTr="00421266">
        <w:trPr>
          <w:jc w:val="center"/>
        </w:trPr>
        <w:tc>
          <w:tcPr>
            <w:tcW w:w="340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6"/>
              <w:jc w:val="both"/>
              <w:rPr>
                <w:rFonts w:asciiTheme="minorHAnsi" w:hAnsiTheme="minorHAnsi" w:cstheme="minorHAnsi"/>
              </w:rPr>
            </w:pPr>
            <w:r w:rsidRPr="00421266">
              <w:rPr>
                <w:rFonts w:asciiTheme="minorHAnsi" w:hAnsiTheme="minorHAnsi" w:cstheme="minorHAnsi"/>
              </w:rPr>
              <w:t>Beneficiaries Supported</w:t>
            </w:r>
          </w:p>
        </w:tc>
        <w:tc>
          <w:tcPr>
            <w:tcW w:w="3810"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3"/>
              <w:jc w:val="both"/>
              <w:rPr>
                <w:rFonts w:asciiTheme="minorHAnsi" w:hAnsiTheme="minorHAnsi" w:cstheme="minorHAnsi"/>
              </w:rPr>
            </w:pPr>
            <w:r w:rsidRPr="00421266">
              <w:rPr>
                <w:rFonts w:asciiTheme="minorHAnsi" w:hAnsiTheme="minorHAnsi" w:cstheme="minorHAnsi"/>
              </w:rPr>
              <w:t>133 including 70 SPARSH Fellows</w:t>
            </w:r>
          </w:p>
        </w:tc>
      </w:tr>
      <w:tr w:rsidR="00421266" w:rsidRPr="00421266" w:rsidTr="00421266">
        <w:trPr>
          <w:jc w:val="center"/>
        </w:trPr>
        <w:tc>
          <w:tcPr>
            <w:tcW w:w="340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6"/>
              <w:jc w:val="both"/>
              <w:rPr>
                <w:rFonts w:asciiTheme="minorHAnsi" w:hAnsiTheme="minorHAnsi" w:cstheme="minorHAnsi"/>
              </w:rPr>
            </w:pPr>
            <w:r w:rsidRPr="00421266">
              <w:rPr>
                <w:rFonts w:asciiTheme="minorHAnsi" w:hAnsiTheme="minorHAnsi" w:cstheme="minorHAnsi"/>
              </w:rPr>
              <w:t>Employment Generated</w:t>
            </w:r>
          </w:p>
        </w:tc>
        <w:tc>
          <w:tcPr>
            <w:tcW w:w="3810"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3"/>
              <w:jc w:val="both"/>
              <w:rPr>
                <w:rFonts w:asciiTheme="minorHAnsi" w:hAnsiTheme="minorHAnsi" w:cstheme="minorHAnsi"/>
              </w:rPr>
            </w:pPr>
            <w:r w:rsidRPr="00421266">
              <w:rPr>
                <w:rFonts w:asciiTheme="minorHAnsi" w:hAnsiTheme="minorHAnsi" w:cstheme="minorHAnsi"/>
              </w:rPr>
              <w:t>218</w:t>
            </w:r>
          </w:p>
        </w:tc>
      </w:tr>
      <w:tr w:rsidR="00421266" w:rsidRPr="00421266" w:rsidTr="00421266">
        <w:trPr>
          <w:jc w:val="center"/>
        </w:trPr>
        <w:tc>
          <w:tcPr>
            <w:tcW w:w="340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6"/>
              <w:jc w:val="both"/>
              <w:rPr>
                <w:rFonts w:asciiTheme="minorHAnsi" w:hAnsiTheme="minorHAnsi" w:cstheme="minorHAnsi"/>
              </w:rPr>
            </w:pPr>
            <w:r w:rsidRPr="00421266">
              <w:rPr>
                <w:rFonts w:asciiTheme="minorHAnsi" w:hAnsiTheme="minorHAnsi" w:cstheme="minorHAnsi"/>
              </w:rPr>
              <w:t>Patents Filed</w:t>
            </w:r>
          </w:p>
        </w:tc>
        <w:tc>
          <w:tcPr>
            <w:tcW w:w="3810"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3"/>
              <w:jc w:val="both"/>
              <w:rPr>
                <w:rFonts w:asciiTheme="minorHAnsi" w:hAnsiTheme="minorHAnsi" w:cstheme="minorHAnsi"/>
              </w:rPr>
            </w:pPr>
            <w:r w:rsidRPr="00421266">
              <w:rPr>
                <w:rFonts w:asciiTheme="minorHAnsi" w:hAnsiTheme="minorHAnsi" w:cstheme="minorHAnsi"/>
              </w:rPr>
              <w:t>15</w:t>
            </w:r>
          </w:p>
        </w:tc>
      </w:tr>
      <w:tr w:rsidR="00421266" w:rsidRPr="00421266" w:rsidTr="00421266">
        <w:trPr>
          <w:jc w:val="center"/>
        </w:trPr>
        <w:tc>
          <w:tcPr>
            <w:tcW w:w="340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6"/>
              <w:jc w:val="both"/>
              <w:rPr>
                <w:rFonts w:asciiTheme="minorHAnsi" w:hAnsiTheme="minorHAnsi" w:cstheme="minorHAnsi"/>
              </w:rPr>
            </w:pPr>
            <w:r w:rsidRPr="00421266">
              <w:rPr>
                <w:rFonts w:asciiTheme="minorHAnsi" w:hAnsiTheme="minorHAnsi" w:cstheme="minorHAnsi"/>
              </w:rPr>
              <w:t>SPARSH Centers Established</w:t>
            </w:r>
          </w:p>
        </w:tc>
        <w:tc>
          <w:tcPr>
            <w:tcW w:w="3810"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3"/>
              <w:jc w:val="both"/>
              <w:rPr>
                <w:rFonts w:asciiTheme="minorHAnsi" w:hAnsiTheme="minorHAnsi" w:cstheme="minorHAnsi"/>
              </w:rPr>
            </w:pPr>
            <w:r w:rsidRPr="00421266">
              <w:rPr>
                <w:rFonts w:asciiTheme="minorHAnsi" w:hAnsiTheme="minorHAnsi" w:cstheme="minorHAnsi"/>
              </w:rPr>
              <w:t>14</w:t>
            </w:r>
          </w:p>
        </w:tc>
      </w:tr>
      <w:tr w:rsidR="00421266" w:rsidRPr="00421266" w:rsidTr="00421266">
        <w:trPr>
          <w:jc w:val="center"/>
        </w:trPr>
        <w:tc>
          <w:tcPr>
            <w:tcW w:w="340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6"/>
              <w:jc w:val="both"/>
              <w:rPr>
                <w:rFonts w:asciiTheme="minorHAnsi" w:hAnsiTheme="minorHAnsi" w:cstheme="minorHAnsi"/>
              </w:rPr>
            </w:pPr>
            <w:r w:rsidRPr="00421266">
              <w:rPr>
                <w:rFonts w:asciiTheme="minorHAnsi" w:hAnsiTheme="minorHAnsi" w:cstheme="minorHAnsi"/>
              </w:rPr>
              <w:t>New Enterprises created</w:t>
            </w:r>
          </w:p>
        </w:tc>
        <w:tc>
          <w:tcPr>
            <w:tcW w:w="3810"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3"/>
              <w:jc w:val="both"/>
              <w:rPr>
                <w:rFonts w:asciiTheme="minorHAnsi" w:hAnsiTheme="minorHAnsi" w:cstheme="minorHAnsi"/>
              </w:rPr>
            </w:pPr>
            <w:r w:rsidRPr="00421266">
              <w:rPr>
                <w:rFonts w:asciiTheme="minorHAnsi" w:hAnsiTheme="minorHAnsi" w:cstheme="minorHAnsi"/>
              </w:rPr>
              <w:t>20</w:t>
            </w:r>
          </w:p>
        </w:tc>
      </w:tr>
      <w:tr w:rsidR="00421266" w:rsidRPr="00421266" w:rsidTr="00421266">
        <w:trPr>
          <w:jc w:val="center"/>
        </w:trPr>
        <w:tc>
          <w:tcPr>
            <w:tcW w:w="3404"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6"/>
              <w:jc w:val="both"/>
              <w:rPr>
                <w:rFonts w:asciiTheme="minorHAnsi" w:hAnsiTheme="minorHAnsi" w:cstheme="minorHAnsi"/>
              </w:rPr>
            </w:pPr>
            <w:r w:rsidRPr="00421266">
              <w:rPr>
                <w:rFonts w:asciiTheme="minorHAnsi" w:hAnsiTheme="minorHAnsi" w:cstheme="minorHAnsi"/>
              </w:rPr>
              <w:t>Products Commercialized</w:t>
            </w:r>
          </w:p>
        </w:tc>
        <w:tc>
          <w:tcPr>
            <w:tcW w:w="3810" w:type="dxa"/>
            <w:shd w:val="clear" w:color="auto" w:fill="auto"/>
            <w:tcMar>
              <w:top w:w="96" w:type="dxa"/>
              <w:left w:w="96" w:type="dxa"/>
              <w:bottom w:w="96" w:type="dxa"/>
              <w:right w:w="96" w:type="dxa"/>
            </w:tcMar>
            <w:hideMark/>
          </w:tcPr>
          <w:p w:rsidR="00421266" w:rsidRPr="00421266" w:rsidRDefault="00421266">
            <w:pPr>
              <w:pStyle w:val="NormalWeb"/>
              <w:spacing w:before="0" w:beforeAutospacing="0" w:after="120" w:afterAutospacing="0"/>
              <w:ind w:left="13"/>
              <w:jc w:val="both"/>
              <w:rPr>
                <w:rFonts w:asciiTheme="minorHAnsi" w:hAnsiTheme="minorHAnsi" w:cstheme="minorHAnsi"/>
              </w:rPr>
            </w:pPr>
            <w:r w:rsidRPr="00421266">
              <w:rPr>
                <w:rFonts w:asciiTheme="minorHAnsi" w:hAnsiTheme="minorHAnsi" w:cstheme="minorHAnsi"/>
              </w:rPr>
              <w:t>8</w:t>
            </w:r>
          </w:p>
        </w:tc>
      </w:tr>
    </w:tbl>
    <w:p w:rsidR="00421266" w:rsidRPr="00421266"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421266">
        <w:rPr>
          <w:rFonts w:asciiTheme="minorHAnsi" w:hAnsiTheme="minorHAnsi" w:cstheme="minorHAnsi"/>
          <w:color w:val="333333"/>
        </w:rPr>
        <w:t> </w:t>
      </w:r>
    </w:p>
    <w:p w:rsidR="00421266" w:rsidRDefault="00421266" w:rsidP="00421266">
      <w:pPr>
        <w:pStyle w:val="NormalWeb"/>
        <w:shd w:val="clear" w:color="auto" w:fill="FFFFFF"/>
        <w:spacing w:before="0" w:beforeAutospacing="0" w:after="120" w:afterAutospacing="0"/>
        <w:ind w:left="820"/>
        <w:jc w:val="both"/>
        <w:rPr>
          <w:rFonts w:asciiTheme="minorHAnsi" w:hAnsiTheme="minorHAnsi" w:cstheme="minorHAnsi"/>
          <w:color w:val="333333"/>
        </w:rPr>
      </w:pPr>
      <w:r w:rsidRPr="00421266">
        <w:rPr>
          <w:rFonts w:asciiTheme="minorHAnsi" w:hAnsiTheme="minorHAnsi" w:cstheme="minorHAnsi"/>
          <w:color w:val="333333"/>
        </w:rPr>
        <w:t>The details of the output for the last three years and the current year are as follows:</w:t>
      </w:r>
    </w:p>
    <w:p w:rsidR="00122A18" w:rsidRPr="00421266" w:rsidRDefault="00122A18" w:rsidP="00421266">
      <w:pPr>
        <w:pStyle w:val="NormalWeb"/>
        <w:shd w:val="clear" w:color="auto" w:fill="FFFFFF"/>
        <w:spacing w:before="0" w:beforeAutospacing="0" w:after="120" w:afterAutospacing="0"/>
        <w:ind w:left="820"/>
        <w:jc w:val="both"/>
        <w:rPr>
          <w:rFonts w:asciiTheme="minorHAnsi" w:hAnsiTheme="minorHAnsi" w:cstheme="minorHAnsi"/>
          <w:color w:val="333333"/>
        </w:rPr>
      </w:pP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tblPr>
      <w:tblGrid>
        <w:gridCol w:w="1650"/>
        <w:gridCol w:w="1615"/>
        <w:gridCol w:w="1625"/>
        <w:gridCol w:w="1614"/>
        <w:gridCol w:w="1541"/>
      </w:tblGrid>
      <w:tr w:rsidR="00421266" w:rsidRPr="00421266" w:rsidTr="00421266">
        <w:trPr>
          <w:jc w:val="center"/>
        </w:trPr>
        <w:tc>
          <w:tcPr>
            <w:tcW w:w="1832"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Year</w:t>
            </w:r>
          </w:p>
        </w:tc>
        <w:tc>
          <w:tcPr>
            <w:tcW w:w="1819"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TRL-7</w:t>
            </w:r>
          </w:p>
        </w:tc>
        <w:tc>
          <w:tcPr>
            <w:tcW w:w="1831"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color w:val="333333"/>
              </w:rPr>
            </w:pPr>
            <w:r w:rsidRPr="00421266">
              <w:rPr>
                <w:rFonts w:asciiTheme="minorHAnsi" w:hAnsiTheme="minorHAnsi" w:cstheme="minorHAnsi"/>
                <w:color w:val="333333"/>
              </w:rPr>
              <w:t>TRL-8</w:t>
            </w:r>
          </w:p>
        </w:tc>
        <w:tc>
          <w:tcPr>
            <w:tcW w:w="1817"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color w:val="333333"/>
              </w:rPr>
            </w:pPr>
            <w:r w:rsidRPr="00421266">
              <w:rPr>
                <w:rFonts w:asciiTheme="minorHAnsi" w:hAnsiTheme="minorHAnsi" w:cstheme="minorHAnsi"/>
                <w:color w:val="333333"/>
              </w:rPr>
              <w:t>TRL-9</w:t>
            </w:r>
          </w:p>
        </w:tc>
        <w:tc>
          <w:tcPr>
            <w:tcW w:w="1728"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8"/>
              <w:jc w:val="both"/>
              <w:rPr>
                <w:rFonts w:asciiTheme="minorHAnsi" w:hAnsiTheme="minorHAnsi" w:cstheme="minorHAnsi"/>
                <w:color w:val="333333"/>
              </w:rPr>
            </w:pPr>
            <w:r w:rsidRPr="00421266">
              <w:rPr>
                <w:rFonts w:asciiTheme="minorHAnsi" w:hAnsiTheme="minorHAnsi" w:cstheme="minorHAnsi"/>
                <w:color w:val="333333"/>
              </w:rPr>
              <w:t>IP filed</w:t>
            </w:r>
          </w:p>
        </w:tc>
      </w:tr>
      <w:tr w:rsidR="00421266" w:rsidRPr="00421266" w:rsidTr="00421266">
        <w:trPr>
          <w:jc w:val="center"/>
        </w:trPr>
        <w:tc>
          <w:tcPr>
            <w:tcW w:w="1832"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2017-2018</w:t>
            </w:r>
          </w:p>
        </w:tc>
        <w:tc>
          <w:tcPr>
            <w:tcW w:w="1819"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27</w:t>
            </w:r>
          </w:p>
        </w:tc>
        <w:tc>
          <w:tcPr>
            <w:tcW w:w="1831"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6</w:t>
            </w:r>
          </w:p>
        </w:tc>
        <w:tc>
          <w:tcPr>
            <w:tcW w:w="1817"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color w:val="333333"/>
              </w:rPr>
            </w:pPr>
            <w:r w:rsidRPr="00421266">
              <w:rPr>
                <w:rFonts w:asciiTheme="minorHAnsi" w:hAnsiTheme="minorHAnsi" w:cstheme="minorHAnsi"/>
                <w:color w:val="333333"/>
              </w:rPr>
              <w:t>9</w:t>
            </w:r>
          </w:p>
        </w:tc>
        <w:tc>
          <w:tcPr>
            <w:tcW w:w="1728"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color w:val="333333"/>
              </w:rPr>
            </w:pPr>
            <w:r w:rsidRPr="00421266">
              <w:rPr>
                <w:rFonts w:asciiTheme="minorHAnsi" w:hAnsiTheme="minorHAnsi" w:cstheme="minorHAnsi"/>
                <w:color w:val="333333"/>
              </w:rPr>
              <w:t>32</w:t>
            </w:r>
          </w:p>
        </w:tc>
      </w:tr>
      <w:tr w:rsidR="00421266" w:rsidRPr="00421266" w:rsidTr="00421266">
        <w:trPr>
          <w:jc w:val="center"/>
        </w:trPr>
        <w:tc>
          <w:tcPr>
            <w:tcW w:w="1832"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2018-2019</w:t>
            </w:r>
          </w:p>
        </w:tc>
        <w:tc>
          <w:tcPr>
            <w:tcW w:w="1819"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29</w:t>
            </w:r>
          </w:p>
        </w:tc>
        <w:tc>
          <w:tcPr>
            <w:tcW w:w="1831"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7</w:t>
            </w:r>
          </w:p>
        </w:tc>
        <w:tc>
          <w:tcPr>
            <w:tcW w:w="1817"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color w:val="333333"/>
              </w:rPr>
            </w:pPr>
            <w:r w:rsidRPr="00421266">
              <w:rPr>
                <w:rFonts w:asciiTheme="minorHAnsi" w:hAnsiTheme="minorHAnsi" w:cstheme="minorHAnsi"/>
                <w:color w:val="333333"/>
              </w:rPr>
              <w:t>12</w:t>
            </w:r>
          </w:p>
        </w:tc>
        <w:tc>
          <w:tcPr>
            <w:tcW w:w="1728"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color w:val="333333"/>
              </w:rPr>
            </w:pPr>
            <w:r w:rsidRPr="00421266">
              <w:rPr>
                <w:rFonts w:asciiTheme="minorHAnsi" w:hAnsiTheme="minorHAnsi" w:cstheme="minorHAnsi"/>
                <w:color w:val="333333"/>
              </w:rPr>
              <w:t>35</w:t>
            </w:r>
          </w:p>
        </w:tc>
      </w:tr>
      <w:tr w:rsidR="00421266" w:rsidRPr="00421266" w:rsidTr="00421266">
        <w:trPr>
          <w:jc w:val="center"/>
        </w:trPr>
        <w:tc>
          <w:tcPr>
            <w:tcW w:w="1832"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2019-2020</w:t>
            </w:r>
          </w:p>
        </w:tc>
        <w:tc>
          <w:tcPr>
            <w:tcW w:w="1819"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40</w:t>
            </w:r>
          </w:p>
        </w:tc>
        <w:tc>
          <w:tcPr>
            <w:tcW w:w="1831"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15</w:t>
            </w:r>
          </w:p>
        </w:tc>
        <w:tc>
          <w:tcPr>
            <w:tcW w:w="1817"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color w:val="333333"/>
              </w:rPr>
            </w:pPr>
            <w:r w:rsidRPr="00421266">
              <w:rPr>
                <w:rFonts w:asciiTheme="minorHAnsi" w:hAnsiTheme="minorHAnsi" w:cstheme="minorHAnsi"/>
                <w:color w:val="333333"/>
              </w:rPr>
              <w:t>10</w:t>
            </w:r>
          </w:p>
        </w:tc>
        <w:tc>
          <w:tcPr>
            <w:tcW w:w="1728"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color w:val="333333"/>
              </w:rPr>
            </w:pPr>
            <w:r w:rsidRPr="00421266">
              <w:rPr>
                <w:rFonts w:asciiTheme="minorHAnsi" w:hAnsiTheme="minorHAnsi" w:cstheme="minorHAnsi"/>
                <w:color w:val="333333"/>
              </w:rPr>
              <w:t>46</w:t>
            </w:r>
          </w:p>
        </w:tc>
      </w:tr>
      <w:tr w:rsidR="00421266" w:rsidRPr="00421266" w:rsidTr="00421266">
        <w:trPr>
          <w:jc w:val="center"/>
        </w:trPr>
        <w:tc>
          <w:tcPr>
            <w:tcW w:w="1832"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lastRenderedPageBreak/>
              <w:t>2020-2021 (Q1)</w:t>
            </w:r>
          </w:p>
        </w:tc>
        <w:tc>
          <w:tcPr>
            <w:tcW w:w="1819"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11</w:t>
            </w:r>
          </w:p>
        </w:tc>
        <w:tc>
          <w:tcPr>
            <w:tcW w:w="1831"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6"/>
              <w:jc w:val="both"/>
              <w:rPr>
                <w:rFonts w:asciiTheme="minorHAnsi" w:hAnsiTheme="minorHAnsi" w:cstheme="minorHAnsi"/>
                <w:color w:val="333333"/>
              </w:rPr>
            </w:pPr>
            <w:r w:rsidRPr="00421266">
              <w:rPr>
                <w:rFonts w:asciiTheme="minorHAnsi" w:hAnsiTheme="minorHAnsi" w:cstheme="minorHAnsi"/>
                <w:color w:val="333333"/>
              </w:rPr>
              <w:t>-</w:t>
            </w:r>
          </w:p>
        </w:tc>
        <w:tc>
          <w:tcPr>
            <w:tcW w:w="1817"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color w:val="333333"/>
              </w:rPr>
            </w:pPr>
            <w:r w:rsidRPr="00421266">
              <w:rPr>
                <w:rFonts w:asciiTheme="minorHAnsi" w:hAnsiTheme="minorHAnsi" w:cstheme="minorHAnsi"/>
                <w:color w:val="333333"/>
              </w:rPr>
              <w:t>-</w:t>
            </w:r>
          </w:p>
        </w:tc>
        <w:tc>
          <w:tcPr>
            <w:tcW w:w="1728" w:type="dxa"/>
            <w:shd w:val="clear" w:color="auto" w:fill="FFFFFF"/>
            <w:tcMar>
              <w:top w:w="96" w:type="dxa"/>
              <w:left w:w="96" w:type="dxa"/>
              <w:bottom w:w="96" w:type="dxa"/>
              <w:right w:w="96" w:type="dxa"/>
            </w:tcMar>
            <w:hideMark/>
          </w:tcPr>
          <w:p w:rsidR="00421266" w:rsidRPr="00421266" w:rsidRDefault="00421266">
            <w:pPr>
              <w:pStyle w:val="NormalWeb"/>
              <w:spacing w:before="0" w:beforeAutospacing="0" w:after="120" w:afterAutospacing="0"/>
              <w:ind w:left="7"/>
              <w:jc w:val="both"/>
              <w:rPr>
                <w:rFonts w:asciiTheme="minorHAnsi" w:hAnsiTheme="minorHAnsi" w:cstheme="minorHAnsi"/>
                <w:color w:val="333333"/>
              </w:rPr>
            </w:pPr>
            <w:r w:rsidRPr="00421266">
              <w:rPr>
                <w:rFonts w:asciiTheme="minorHAnsi" w:hAnsiTheme="minorHAnsi" w:cstheme="minorHAnsi"/>
                <w:color w:val="333333"/>
              </w:rPr>
              <w:t>17</w:t>
            </w:r>
          </w:p>
        </w:tc>
      </w:tr>
    </w:tbl>
    <w:p w:rsidR="00421266" w:rsidRPr="00421266" w:rsidRDefault="00421266" w:rsidP="00421266">
      <w:pPr>
        <w:pStyle w:val="NormalWeb"/>
        <w:shd w:val="clear" w:color="auto" w:fill="FFFFFF"/>
        <w:spacing w:before="0" w:beforeAutospacing="0" w:after="120" w:afterAutospacing="0"/>
        <w:jc w:val="both"/>
        <w:rPr>
          <w:rFonts w:asciiTheme="minorHAnsi" w:hAnsiTheme="minorHAnsi" w:cstheme="minorHAnsi"/>
          <w:color w:val="333333"/>
        </w:rPr>
      </w:pPr>
      <w:r w:rsidRPr="00421266">
        <w:rPr>
          <w:rFonts w:asciiTheme="minorHAnsi" w:hAnsiTheme="minorHAnsi" w:cstheme="minorHAnsi"/>
          <w:color w:val="333333"/>
        </w:rPr>
        <w:t> </w:t>
      </w:r>
    </w:p>
    <w:p w:rsidR="00421266" w:rsidRPr="00421266" w:rsidRDefault="00421266" w:rsidP="00421266">
      <w:pPr>
        <w:numPr>
          <w:ilvl w:val="0"/>
          <w:numId w:val="20"/>
        </w:numPr>
        <w:shd w:val="clear" w:color="auto" w:fill="FFFFFF"/>
        <w:spacing w:before="100" w:beforeAutospacing="1" w:after="100" w:afterAutospacing="1" w:line="240" w:lineRule="auto"/>
        <w:ind w:left="0"/>
        <w:jc w:val="both"/>
        <w:rPr>
          <w:rFonts w:cstheme="minorHAnsi"/>
          <w:color w:val="333333"/>
          <w:sz w:val="24"/>
          <w:szCs w:val="24"/>
        </w:rPr>
      </w:pPr>
      <w:r w:rsidRPr="00421266">
        <w:rPr>
          <w:rFonts w:cstheme="minorHAnsi"/>
          <w:color w:val="333333"/>
          <w:sz w:val="24"/>
          <w:szCs w:val="24"/>
        </w:rPr>
        <w:t>TRL-7- Product/Technology completes late stage validation</w:t>
      </w:r>
    </w:p>
    <w:p w:rsidR="00421266" w:rsidRPr="00421266" w:rsidRDefault="00421266" w:rsidP="00421266">
      <w:pPr>
        <w:numPr>
          <w:ilvl w:val="0"/>
          <w:numId w:val="20"/>
        </w:numPr>
        <w:shd w:val="clear" w:color="auto" w:fill="FFFFFF"/>
        <w:spacing w:before="100" w:beforeAutospacing="1" w:after="100" w:afterAutospacing="1" w:line="240" w:lineRule="auto"/>
        <w:ind w:left="0"/>
        <w:jc w:val="both"/>
        <w:rPr>
          <w:rFonts w:cstheme="minorHAnsi"/>
          <w:color w:val="333333"/>
          <w:sz w:val="24"/>
          <w:szCs w:val="24"/>
        </w:rPr>
      </w:pPr>
      <w:r w:rsidRPr="00421266">
        <w:rPr>
          <w:rFonts w:cstheme="minorHAnsi"/>
          <w:color w:val="333333"/>
          <w:sz w:val="24"/>
          <w:szCs w:val="24"/>
        </w:rPr>
        <w:t>TRL-8- Product/Technology completes all essential requirements for commercialization</w:t>
      </w:r>
    </w:p>
    <w:p w:rsidR="00421266" w:rsidRPr="00421266" w:rsidRDefault="00421266" w:rsidP="00421266">
      <w:pPr>
        <w:numPr>
          <w:ilvl w:val="0"/>
          <w:numId w:val="20"/>
        </w:numPr>
        <w:shd w:val="clear" w:color="auto" w:fill="FFFFFF"/>
        <w:spacing w:before="100" w:beforeAutospacing="1" w:after="100" w:afterAutospacing="1" w:line="240" w:lineRule="auto"/>
        <w:ind w:left="0"/>
        <w:jc w:val="both"/>
        <w:rPr>
          <w:rFonts w:cstheme="minorHAnsi"/>
          <w:color w:val="333333"/>
          <w:sz w:val="24"/>
          <w:szCs w:val="24"/>
        </w:rPr>
      </w:pPr>
      <w:r w:rsidRPr="00421266">
        <w:rPr>
          <w:rFonts w:cstheme="minorHAnsi"/>
          <w:color w:val="333333"/>
          <w:sz w:val="24"/>
          <w:szCs w:val="24"/>
        </w:rPr>
        <w:t>TRL-9- Product/technology commercialized (includes technologies out licensed)</w:t>
      </w:r>
    </w:p>
    <w:p w:rsidR="00421266" w:rsidRDefault="00421266" w:rsidP="00421266">
      <w:pPr>
        <w:shd w:val="clear" w:color="auto" w:fill="FFFFFF"/>
        <w:spacing w:before="240" w:after="120" w:line="240" w:lineRule="auto"/>
        <w:outlineLvl w:val="1"/>
        <w:rPr>
          <w:rFonts w:cstheme="minorHAnsi"/>
          <w:color w:val="AB172A"/>
          <w:sz w:val="24"/>
          <w:szCs w:val="24"/>
        </w:rPr>
      </w:pPr>
    </w:p>
    <w:p w:rsidR="001B350F" w:rsidRPr="00B338D9" w:rsidRDefault="00421266" w:rsidP="00421266">
      <w:pPr>
        <w:shd w:val="clear" w:color="auto" w:fill="FFFFFF"/>
        <w:spacing w:before="240" w:after="120" w:line="240" w:lineRule="auto"/>
        <w:outlineLvl w:val="1"/>
        <w:rPr>
          <w:rFonts w:cstheme="minorHAnsi"/>
          <w:color w:val="AB172A"/>
          <w:sz w:val="24"/>
          <w:szCs w:val="24"/>
        </w:rPr>
      </w:pPr>
      <w:r w:rsidRPr="00B338D9">
        <w:rPr>
          <w:rFonts w:cstheme="minorHAnsi"/>
          <w:color w:val="AB172A"/>
          <w:sz w:val="24"/>
          <w:szCs w:val="24"/>
        </w:rPr>
        <w:t xml:space="preserve"> </w:t>
      </w:r>
      <w:r w:rsidR="001B350F" w:rsidRPr="00B338D9">
        <w:rPr>
          <w:rFonts w:cstheme="minorHAnsi"/>
          <w:color w:val="AB172A"/>
          <w:sz w:val="24"/>
          <w:szCs w:val="24"/>
        </w:rPr>
        <w:t>Source</w:t>
      </w:r>
    </w:p>
    <w:p w:rsidR="001B350F" w:rsidRPr="00B338D9" w:rsidRDefault="001B350F" w:rsidP="005D10A3">
      <w:pPr>
        <w:shd w:val="clear" w:color="auto" w:fill="FFFFFF"/>
        <w:spacing w:after="109" w:line="240" w:lineRule="auto"/>
        <w:jc w:val="both"/>
        <w:rPr>
          <w:rFonts w:cstheme="minorHAnsi"/>
          <w:sz w:val="24"/>
          <w:szCs w:val="24"/>
        </w:rPr>
      </w:pPr>
      <w:r w:rsidRPr="00B338D9">
        <w:rPr>
          <w:rFonts w:eastAsia="Times New Roman" w:cstheme="minorHAnsi"/>
          <w:color w:val="333333"/>
          <w:sz w:val="24"/>
          <w:szCs w:val="24"/>
        </w:rPr>
        <w:t xml:space="preserve">Press Information Bureau, </w:t>
      </w:r>
      <w:r w:rsidR="0030461E" w:rsidRPr="00B338D9">
        <w:rPr>
          <w:rFonts w:eastAsia="Times New Roman" w:cstheme="minorHAnsi"/>
          <w:color w:val="333333"/>
          <w:sz w:val="24"/>
          <w:szCs w:val="24"/>
        </w:rPr>
        <w:t>2</w:t>
      </w:r>
      <w:r w:rsidR="008A308A">
        <w:rPr>
          <w:rFonts w:eastAsia="Times New Roman" w:cstheme="minorHAnsi"/>
          <w:color w:val="333333"/>
          <w:sz w:val="24"/>
          <w:szCs w:val="24"/>
        </w:rPr>
        <w:t>4</w:t>
      </w:r>
      <w:r w:rsidR="004307FE" w:rsidRPr="00B338D9">
        <w:rPr>
          <w:rFonts w:eastAsia="Times New Roman" w:cstheme="minorHAnsi"/>
          <w:color w:val="333333"/>
          <w:sz w:val="24"/>
          <w:szCs w:val="24"/>
        </w:rPr>
        <w:t xml:space="preserve"> </w:t>
      </w:r>
      <w:r w:rsidR="001D6D00" w:rsidRPr="00B338D9">
        <w:rPr>
          <w:rFonts w:eastAsia="Times New Roman" w:cstheme="minorHAnsi"/>
          <w:color w:val="333333"/>
          <w:sz w:val="24"/>
          <w:szCs w:val="24"/>
        </w:rPr>
        <w:t>September</w:t>
      </w:r>
      <w:r w:rsidR="00D21CFC" w:rsidRPr="00B338D9">
        <w:rPr>
          <w:rFonts w:eastAsia="Times New Roman" w:cstheme="minorHAnsi"/>
          <w:color w:val="333333"/>
          <w:sz w:val="24"/>
          <w:szCs w:val="24"/>
        </w:rPr>
        <w:t>,</w:t>
      </w:r>
      <w:r w:rsidRPr="00B338D9">
        <w:rPr>
          <w:rFonts w:eastAsia="Times New Roman" w:cstheme="minorHAnsi"/>
          <w:color w:val="333333"/>
          <w:sz w:val="24"/>
          <w:szCs w:val="24"/>
        </w:rPr>
        <w:t xml:space="preserve"> 2020</w:t>
      </w:r>
      <w:r w:rsidR="005D10A3" w:rsidRPr="00B338D9">
        <w:rPr>
          <w:rFonts w:eastAsia="Times New Roman" w:cstheme="minorHAnsi"/>
          <w:color w:val="333333"/>
          <w:sz w:val="24"/>
          <w:szCs w:val="24"/>
        </w:rPr>
        <w:t xml:space="preserve"> </w:t>
      </w:r>
    </w:p>
    <w:sectPr w:rsidR="001B350F" w:rsidRPr="00B338D9" w:rsidSect="00B338D9">
      <w:pgSz w:w="12240" w:h="15840"/>
      <w:pgMar w:top="1276"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8"/>
  </w:num>
  <w:num w:numId="5">
    <w:abstractNumId w:val="17"/>
  </w:num>
  <w:num w:numId="6">
    <w:abstractNumId w:val="0"/>
  </w:num>
  <w:num w:numId="7">
    <w:abstractNumId w:val="13"/>
  </w:num>
  <w:num w:numId="8">
    <w:abstractNumId w:val="9"/>
  </w:num>
  <w:num w:numId="9">
    <w:abstractNumId w:val="2"/>
  </w:num>
  <w:num w:numId="10">
    <w:abstractNumId w:val="4"/>
  </w:num>
  <w:num w:numId="11">
    <w:abstractNumId w:val="19"/>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A132B"/>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A308A"/>
    <w:rsid w:val="008B4B11"/>
    <w:rsid w:val="008C6742"/>
    <w:rsid w:val="008C685B"/>
    <w:rsid w:val="008D1AFE"/>
    <w:rsid w:val="008D2188"/>
    <w:rsid w:val="008E6279"/>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6760A"/>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C6680"/>
    <w:rsid w:val="00BD0762"/>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16CF"/>
    <w:rsid w:val="00CA6C7A"/>
    <w:rsid w:val="00CA7002"/>
    <w:rsid w:val="00CB7146"/>
    <w:rsid w:val="00CC747B"/>
    <w:rsid w:val="00CD2D1A"/>
    <w:rsid w:val="00CD55FA"/>
    <w:rsid w:val="00CE14CD"/>
    <w:rsid w:val="00CF1BFF"/>
    <w:rsid w:val="00CF5CBC"/>
    <w:rsid w:val="00CF7D68"/>
    <w:rsid w:val="00D03D27"/>
    <w:rsid w:val="00D1043C"/>
    <w:rsid w:val="00D21CFC"/>
    <w:rsid w:val="00D30959"/>
    <w:rsid w:val="00D40A2F"/>
    <w:rsid w:val="00D41FE2"/>
    <w:rsid w:val="00D5283E"/>
    <w:rsid w:val="00D650BA"/>
    <w:rsid w:val="00D774BA"/>
    <w:rsid w:val="00DA3985"/>
    <w:rsid w:val="00DB41FE"/>
    <w:rsid w:val="00DB4437"/>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2020-09-25T10:43:00Z</dcterms:created>
  <dcterms:modified xsi:type="dcterms:W3CDTF">2020-09-30T13:00:00Z</dcterms:modified>
</cp:coreProperties>
</file>