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BBA" w:rsidRPr="00E43BBA" w:rsidRDefault="00E43BBA" w:rsidP="00E43BBA">
      <w:pPr>
        <w:pStyle w:val="Heading2"/>
        <w:shd w:val="clear" w:color="auto" w:fill="FFFFFF"/>
        <w:spacing w:before="218" w:beforeAutospacing="0" w:after="109" w:afterAutospacing="0"/>
        <w:rPr>
          <w:rFonts w:asciiTheme="minorHAnsi" w:hAnsiTheme="minorHAnsi" w:cstheme="minorHAnsi"/>
          <w:b w:val="0"/>
          <w:bCs w:val="0"/>
          <w:color w:val="333333"/>
          <w:sz w:val="24"/>
          <w:szCs w:val="24"/>
        </w:rPr>
      </w:pPr>
      <w:r w:rsidRPr="00E43BBA">
        <w:rPr>
          <w:rFonts w:asciiTheme="minorHAnsi" w:hAnsiTheme="minorHAnsi" w:cstheme="minorHAnsi"/>
          <w:color w:val="365F91" w:themeColor="accent1" w:themeShade="BF"/>
          <w:sz w:val="24"/>
          <w:szCs w:val="24"/>
        </w:rPr>
        <w:t>JNCASR researchers develop diagnostic therapy</w:t>
      </w:r>
      <w:r>
        <w:rPr>
          <w:rFonts w:asciiTheme="minorHAnsi" w:hAnsiTheme="minorHAnsi" w:cstheme="minorHAnsi"/>
          <w:color w:val="365F91" w:themeColor="accent1" w:themeShade="BF"/>
          <w:sz w:val="24"/>
          <w:szCs w:val="24"/>
        </w:rPr>
        <w:t xml:space="preserve"> </w:t>
      </w:r>
      <w:r w:rsidRPr="00E43BBA">
        <w:rPr>
          <w:rFonts w:asciiTheme="minorHAnsi" w:hAnsiTheme="minorHAnsi" w:cstheme="minorHAnsi"/>
          <w:color w:val="365F91" w:themeColor="accent1" w:themeShade="BF"/>
          <w:sz w:val="24"/>
          <w:szCs w:val="24"/>
        </w:rPr>
        <w:t>for Lung Cancer</w:t>
      </w:r>
      <w:r w:rsidRPr="00E43BBA">
        <w:rPr>
          <w:rFonts w:asciiTheme="minorHAnsi" w:hAnsiTheme="minorHAnsi" w:cstheme="minorHAnsi"/>
          <w:color w:val="365F91" w:themeColor="accent1" w:themeShade="BF"/>
          <w:sz w:val="24"/>
          <w:szCs w:val="24"/>
        </w:rPr>
        <w:br/>
      </w:r>
    </w:p>
    <w:p w:rsidR="00E43BBA" w:rsidRDefault="00E43BBA" w:rsidP="00E43BBA">
      <w:pPr>
        <w:shd w:val="clear" w:color="auto" w:fill="FFFFFF"/>
        <w:spacing w:after="109" w:line="240" w:lineRule="auto"/>
        <w:jc w:val="both"/>
        <w:rPr>
          <w:rFonts w:eastAsia="Times New Roman" w:cstheme="minorHAnsi"/>
          <w:color w:val="000000"/>
          <w:sz w:val="24"/>
          <w:szCs w:val="24"/>
        </w:rPr>
      </w:pPr>
      <w:r w:rsidRPr="00E43BBA">
        <w:rPr>
          <w:rFonts w:eastAsia="Times New Roman" w:cstheme="minorHAnsi"/>
          <w:color w:val="000000"/>
          <w:sz w:val="24"/>
          <w:szCs w:val="24"/>
        </w:rPr>
        <w:t>Lung cancer, the most common cause of cancer-related death worldwide, is tough to detect at early stages, making it difficult to treat. Scientists may soon have a solution in the form of diagnostic therapy for lung cancer which paves the way for personalized medicine.</w:t>
      </w:r>
    </w:p>
    <w:p w:rsidR="00B515A8" w:rsidRPr="00E43BBA" w:rsidRDefault="00B515A8" w:rsidP="00E43BBA">
      <w:pPr>
        <w:shd w:val="clear" w:color="auto" w:fill="FFFFFF"/>
        <w:spacing w:after="109" w:line="240" w:lineRule="auto"/>
        <w:jc w:val="both"/>
        <w:rPr>
          <w:rFonts w:eastAsia="Times New Roman" w:cstheme="minorHAnsi"/>
          <w:color w:val="333333"/>
          <w:sz w:val="24"/>
          <w:szCs w:val="24"/>
        </w:rPr>
      </w:pPr>
    </w:p>
    <w:p w:rsidR="00E43BBA" w:rsidRDefault="00E43BBA" w:rsidP="00E43BBA">
      <w:pPr>
        <w:shd w:val="clear" w:color="auto" w:fill="FFFFFF"/>
        <w:spacing w:after="109" w:line="240" w:lineRule="auto"/>
        <w:jc w:val="both"/>
        <w:rPr>
          <w:rFonts w:eastAsia="Times New Roman" w:cstheme="minorHAnsi"/>
          <w:b/>
          <w:bCs/>
          <w:color w:val="000000"/>
          <w:sz w:val="24"/>
          <w:szCs w:val="24"/>
        </w:rPr>
      </w:pPr>
      <w:r w:rsidRPr="00E43BBA">
        <w:rPr>
          <w:rFonts w:eastAsia="Times New Roman" w:cstheme="minorHAnsi"/>
          <w:color w:val="000000"/>
          <w:sz w:val="24"/>
          <w:szCs w:val="24"/>
        </w:rPr>
        <w:t>Recently researchers from </w:t>
      </w:r>
      <w:r w:rsidRPr="00E43BBA">
        <w:rPr>
          <w:rFonts w:eastAsia="Times New Roman" w:cstheme="minorHAnsi"/>
          <w:b/>
          <w:bCs/>
          <w:color w:val="333333"/>
          <w:sz w:val="24"/>
          <w:szCs w:val="24"/>
        </w:rPr>
        <w:t>Jawaharlal Nehru Centre for Advanced Scientific Research (JNCASR)</w:t>
      </w:r>
      <w:r w:rsidRPr="00E43BBA">
        <w:rPr>
          <w:rFonts w:eastAsia="Times New Roman" w:cstheme="minorHAnsi"/>
          <w:color w:val="333333"/>
          <w:sz w:val="24"/>
          <w:szCs w:val="24"/>
          <w:shd w:val="clear" w:color="auto" w:fill="FFFFFF"/>
        </w:rPr>
        <w:t>, an autonomous institute under the Department of Science &amp; Technology (DST), Govt. of India, have developed a </w:t>
      </w:r>
      <w:proofErr w:type="spellStart"/>
      <w:r w:rsidRPr="00E43BBA">
        <w:rPr>
          <w:rFonts w:eastAsia="Times New Roman" w:cstheme="minorHAnsi"/>
          <w:color w:val="000000"/>
          <w:sz w:val="24"/>
          <w:szCs w:val="24"/>
        </w:rPr>
        <w:t>theranostics</w:t>
      </w:r>
      <w:proofErr w:type="spellEnd"/>
      <w:r w:rsidRPr="00E43BBA">
        <w:rPr>
          <w:rFonts w:eastAsia="Times New Roman" w:cstheme="minorHAnsi"/>
          <w:color w:val="000000"/>
          <w:sz w:val="24"/>
          <w:szCs w:val="24"/>
        </w:rPr>
        <w:t xml:space="preserve"> (diagnostic therapy) drug candidate for lung cancer. The research work funded jointly by </w:t>
      </w:r>
      <w:r w:rsidRPr="00E43BBA">
        <w:rPr>
          <w:rFonts w:eastAsia="Times New Roman" w:cstheme="minorHAnsi"/>
          <w:color w:val="333333"/>
          <w:sz w:val="24"/>
          <w:szCs w:val="24"/>
        </w:rPr>
        <w:t xml:space="preserve">DST, BRICS Multilateral R&amp;D Projects grant, and </w:t>
      </w:r>
      <w:proofErr w:type="spellStart"/>
      <w:r w:rsidRPr="00E43BBA">
        <w:rPr>
          <w:rFonts w:eastAsia="Times New Roman" w:cstheme="minorHAnsi"/>
          <w:color w:val="333333"/>
          <w:sz w:val="24"/>
          <w:szCs w:val="24"/>
        </w:rPr>
        <w:t>SwarnaJayanti</w:t>
      </w:r>
      <w:proofErr w:type="spellEnd"/>
      <w:r w:rsidRPr="00E43BBA">
        <w:rPr>
          <w:rFonts w:eastAsia="Times New Roman" w:cstheme="minorHAnsi"/>
          <w:color w:val="333333"/>
          <w:sz w:val="24"/>
          <w:szCs w:val="24"/>
        </w:rPr>
        <w:t xml:space="preserve"> Fellowship Grant was published in the journal </w:t>
      </w:r>
      <w:proofErr w:type="spellStart"/>
      <w:r w:rsidRPr="00E43BBA">
        <w:rPr>
          <w:rFonts w:eastAsia="Times New Roman" w:cstheme="minorHAnsi"/>
          <w:b/>
          <w:bCs/>
          <w:i/>
          <w:iCs/>
          <w:color w:val="000000"/>
          <w:sz w:val="24"/>
          <w:szCs w:val="24"/>
        </w:rPr>
        <w:t>Theranostics</w:t>
      </w:r>
      <w:proofErr w:type="spellEnd"/>
      <w:r w:rsidRPr="00E43BBA">
        <w:rPr>
          <w:rFonts w:eastAsia="Times New Roman" w:cstheme="minorHAnsi"/>
          <w:b/>
          <w:bCs/>
          <w:color w:val="000000"/>
          <w:sz w:val="24"/>
          <w:szCs w:val="24"/>
        </w:rPr>
        <w:t>.</w:t>
      </w:r>
    </w:p>
    <w:p w:rsidR="00B515A8" w:rsidRPr="00E43BBA" w:rsidRDefault="00B515A8" w:rsidP="00E43BBA">
      <w:pPr>
        <w:shd w:val="clear" w:color="auto" w:fill="FFFFFF"/>
        <w:spacing w:after="109" w:line="240" w:lineRule="auto"/>
        <w:jc w:val="both"/>
        <w:rPr>
          <w:rFonts w:eastAsia="Times New Roman" w:cstheme="minorHAnsi"/>
          <w:color w:val="333333"/>
          <w:sz w:val="24"/>
          <w:szCs w:val="24"/>
        </w:rPr>
      </w:pPr>
    </w:p>
    <w:p w:rsidR="00E43BBA" w:rsidRDefault="00E43BBA" w:rsidP="00E43BBA">
      <w:pPr>
        <w:shd w:val="clear" w:color="auto" w:fill="FFFFFF"/>
        <w:spacing w:after="109" w:line="240" w:lineRule="auto"/>
        <w:jc w:val="both"/>
        <w:rPr>
          <w:rFonts w:eastAsia="Times New Roman" w:cstheme="minorHAnsi"/>
          <w:color w:val="000000"/>
          <w:sz w:val="24"/>
          <w:szCs w:val="24"/>
        </w:rPr>
      </w:pPr>
      <w:r w:rsidRPr="00E43BBA">
        <w:rPr>
          <w:rFonts w:eastAsia="Times New Roman" w:cstheme="minorHAnsi"/>
          <w:color w:val="000000"/>
          <w:sz w:val="24"/>
          <w:szCs w:val="24"/>
        </w:rPr>
        <w:t xml:space="preserve">The selective recognition and imaging of </w:t>
      </w:r>
      <w:proofErr w:type="spellStart"/>
      <w:r w:rsidRPr="00E43BBA">
        <w:rPr>
          <w:rFonts w:eastAsia="Times New Roman" w:cstheme="minorHAnsi"/>
          <w:color w:val="000000"/>
          <w:sz w:val="24"/>
          <w:szCs w:val="24"/>
        </w:rPr>
        <w:t>oncogene</w:t>
      </w:r>
      <w:proofErr w:type="spellEnd"/>
      <w:r w:rsidRPr="00E43BBA">
        <w:rPr>
          <w:rFonts w:eastAsia="Times New Roman" w:cstheme="minorHAnsi"/>
          <w:color w:val="000000"/>
          <w:sz w:val="24"/>
          <w:szCs w:val="24"/>
        </w:rPr>
        <w:t xml:space="preserve"> specific non-canonical DNA secondary structures (G-</w:t>
      </w:r>
      <w:proofErr w:type="spellStart"/>
      <w:r w:rsidRPr="00E43BBA">
        <w:rPr>
          <w:rFonts w:eastAsia="Times New Roman" w:cstheme="minorHAnsi"/>
          <w:color w:val="000000"/>
          <w:sz w:val="24"/>
          <w:szCs w:val="24"/>
        </w:rPr>
        <w:t>quadruplex</w:t>
      </w:r>
      <w:proofErr w:type="spellEnd"/>
      <w:r w:rsidRPr="00E43BBA">
        <w:rPr>
          <w:rFonts w:eastAsia="Times New Roman" w:cstheme="minorHAnsi"/>
          <w:color w:val="000000"/>
          <w:sz w:val="24"/>
          <w:szCs w:val="24"/>
        </w:rPr>
        <w:t>-GQ structures) holds great promise in the development of diagnostic therapy (</w:t>
      </w:r>
      <w:proofErr w:type="spellStart"/>
      <w:r w:rsidRPr="00E43BBA">
        <w:rPr>
          <w:rFonts w:eastAsia="Times New Roman" w:cstheme="minorHAnsi"/>
          <w:color w:val="000000"/>
          <w:sz w:val="24"/>
          <w:szCs w:val="24"/>
        </w:rPr>
        <w:t>theranostics</w:t>
      </w:r>
      <w:proofErr w:type="spellEnd"/>
      <w:r w:rsidRPr="00E43BBA">
        <w:rPr>
          <w:rFonts w:eastAsia="Times New Roman" w:cstheme="minorHAnsi"/>
          <w:color w:val="000000"/>
          <w:sz w:val="24"/>
          <w:szCs w:val="24"/>
        </w:rPr>
        <w:t>) for cancer and has been challenging due to their structural dynamics and diversity.</w:t>
      </w:r>
    </w:p>
    <w:p w:rsidR="00B515A8" w:rsidRPr="00E43BBA" w:rsidRDefault="00B515A8" w:rsidP="00E43BBA">
      <w:pPr>
        <w:shd w:val="clear" w:color="auto" w:fill="FFFFFF"/>
        <w:spacing w:after="109" w:line="240" w:lineRule="auto"/>
        <w:jc w:val="both"/>
        <w:rPr>
          <w:rFonts w:eastAsia="Times New Roman" w:cstheme="minorHAnsi"/>
          <w:color w:val="333333"/>
          <w:sz w:val="24"/>
          <w:szCs w:val="24"/>
        </w:rPr>
      </w:pPr>
    </w:p>
    <w:p w:rsidR="00E43BBA" w:rsidRDefault="00E43BBA" w:rsidP="00E43BBA">
      <w:pPr>
        <w:shd w:val="clear" w:color="auto" w:fill="FFFFFF"/>
        <w:spacing w:after="109" w:line="240" w:lineRule="auto"/>
        <w:jc w:val="both"/>
        <w:rPr>
          <w:rFonts w:eastAsia="Times New Roman" w:cstheme="minorHAnsi"/>
          <w:color w:val="000000"/>
          <w:sz w:val="24"/>
          <w:szCs w:val="24"/>
        </w:rPr>
      </w:pPr>
      <w:r w:rsidRPr="00E43BBA">
        <w:rPr>
          <w:rFonts w:eastAsia="Times New Roman" w:cstheme="minorHAnsi"/>
          <w:color w:val="000000"/>
          <w:sz w:val="24"/>
          <w:szCs w:val="24"/>
        </w:rPr>
        <w:t xml:space="preserve">Prof. T. </w:t>
      </w:r>
      <w:proofErr w:type="spellStart"/>
      <w:r w:rsidRPr="00E43BBA">
        <w:rPr>
          <w:rFonts w:eastAsia="Times New Roman" w:cstheme="minorHAnsi"/>
          <w:color w:val="000000"/>
          <w:sz w:val="24"/>
          <w:szCs w:val="24"/>
        </w:rPr>
        <w:t>Govindaraju</w:t>
      </w:r>
      <w:proofErr w:type="spellEnd"/>
      <w:r w:rsidRPr="00E43BBA">
        <w:rPr>
          <w:rFonts w:eastAsia="Times New Roman" w:cstheme="minorHAnsi"/>
          <w:color w:val="000000"/>
          <w:sz w:val="24"/>
          <w:szCs w:val="24"/>
        </w:rPr>
        <w:t xml:space="preserve">, along with his team from JNCASR, developed a small molecule for selective recognition of BCL-2 GQ through unique hybrid loop stacking and groove binding mode with turn on far-red fluorescence response and anticancer activity demonstrating the potential as GQ-targeted lung cancer </w:t>
      </w:r>
      <w:proofErr w:type="spellStart"/>
      <w:r w:rsidRPr="00E43BBA">
        <w:rPr>
          <w:rFonts w:eastAsia="Times New Roman" w:cstheme="minorHAnsi"/>
          <w:color w:val="000000"/>
          <w:sz w:val="24"/>
          <w:szCs w:val="24"/>
        </w:rPr>
        <w:t>theranostics</w:t>
      </w:r>
      <w:proofErr w:type="spellEnd"/>
      <w:r w:rsidRPr="00E43BBA">
        <w:rPr>
          <w:rFonts w:eastAsia="Times New Roman" w:cstheme="minorHAnsi"/>
          <w:color w:val="000000"/>
          <w:sz w:val="24"/>
          <w:szCs w:val="24"/>
        </w:rPr>
        <w:t>.</w:t>
      </w:r>
    </w:p>
    <w:p w:rsidR="00B515A8" w:rsidRPr="00E43BBA" w:rsidRDefault="00B515A8" w:rsidP="00E43BBA">
      <w:pPr>
        <w:shd w:val="clear" w:color="auto" w:fill="FFFFFF"/>
        <w:spacing w:after="109" w:line="240" w:lineRule="auto"/>
        <w:jc w:val="both"/>
        <w:rPr>
          <w:rFonts w:eastAsia="Times New Roman" w:cstheme="minorHAnsi"/>
          <w:color w:val="333333"/>
          <w:sz w:val="24"/>
          <w:szCs w:val="24"/>
        </w:rPr>
      </w:pPr>
    </w:p>
    <w:p w:rsidR="00E43BBA" w:rsidRDefault="00E43BBA" w:rsidP="00E43BBA">
      <w:pPr>
        <w:shd w:val="clear" w:color="auto" w:fill="FFFFFF"/>
        <w:spacing w:after="109" w:line="240" w:lineRule="auto"/>
        <w:jc w:val="both"/>
        <w:rPr>
          <w:rFonts w:eastAsia="Times New Roman" w:cstheme="minorHAnsi"/>
          <w:color w:val="000000"/>
          <w:sz w:val="24"/>
          <w:szCs w:val="24"/>
        </w:rPr>
      </w:pPr>
      <w:r w:rsidRPr="00E43BBA">
        <w:rPr>
          <w:rFonts w:eastAsia="Times New Roman" w:cstheme="minorHAnsi"/>
          <w:color w:val="000000"/>
          <w:sz w:val="24"/>
          <w:szCs w:val="24"/>
        </w:rPr>
        <w:t xml:space="preserve">The JNCASR team reported the </w:t>
      </w:r>
      <w:proofErr w:type="spellStart"/>
      <w:r w:rsidRPr="00E43BBA">
        <w:rPr>
          <w:rFonts w:eastAsia="Times New Roman" w:cstheme="minorHAnsi"/>
          <w:color w:val="000000"/>
          <w:sz w:val="24"/>
          <w:szCs w:val="24"/>
        </w:rPr>
        <w:t>theranostic</w:t>
      </w:r>
      <w:proofErr w:type="spellEnd"/>
      <w:r w:rsidRPr="00E43BBA">
        <w:rPr>
          <w:rFonts w:eastAsia="Times New Roman" w:cstheme="minorHAnsi"/>
          <w:color w:val="000000"/>
          <w:sz w:val="24"/>
          <w:szCs w:val="24"/>
        </w:rPr>
        <w:t xml:space="preserve"> activity of TGP18 molecule by turn on fluorescence recognition of BCL-2 GQ through unique hybrid binding mode as well as its anti-lung cancer activity and tissue imaging potential. Their strategy of specific topology recognition through hybrid binding mode led to capitalize on the gains of oxidative stress and genome instability to kill lung cancer cells </w:t>
      </w:r>
      <w:r w:rsidRPr="00E43BBA">
        <w:rPr>
          <w:rFonts w:eastAsia="Times New Roman" w:cstheme="minorHAnsi"/>
          <w:i/>
          <w:iCs/>
          <w:color w:val="000000"/>
          <w:sz w:val="24"/>
          <w:szCs w:val="24"/>
        </w:rPr>
        <w:t>in vivo</w:t>
      </w:r>
      <w:r w:rsidRPr="00E43BBA">
        <w:rPr>
          <w:rFonts w:eastAsia="Times New Roman" w:cstheme="minorHAnsi"/>
          <w:color w:val="000000"/>
          <w:sz w:val="24"/>
          <w:szCs w:val="24"/>
        </w:rPr>
        <w:t xml:space="preserve">. In addition, TGP18 with turn on emission band at the lower edge of far-red to NIR spectroscopic window proved to be a viable probe for </w:t>
      </w:r>
      <w:proofErr w:type="spellStart"/>
      <w:r w:rsidRPr="00E43BBA">
        <w:rPr>
          <w:rFonts w:eastAsia="Times New Roman" w:cstheme="minorHAnsi"/>
          <w:color w:val="000000"/>
          <w:sz w:val="24"/>
          <w:szCs w:val="24"/>
        </w:rPr>
        <w:t>tumour</w:t>
      </w:r>
      <w:proofErr w:type="spellEnd"/>
      <w:r w:rsidRPr="00E43BBA">
        <w:rPr>
          <w:rFonts w:eastAsia="Times New Roman" w:cstheme="minorHAnsi"/>
          <w:color w:val="000000"/>
          <w:sz w:val="24"/>
          <w:szCs w:val="24"/>
        </w:rPr>
        <w:t xml:space="preserve"> tissue imaging. Collectively, </w:t>
      </w:r>
      <w:proofErr w:type="spellStart"/>
      <w:r w:rsidRPr="00E43BBA">
        <w:rPr>
          <w:rFonts w:eastAsia="Times New Roman" w:cstheme="minorHAnsi"/>
          <w:color w:val="000000"/>
          <w:sz w:val="24"/>
          <w:szCs w:val="24"/>
        </w:rPr>
        <w:t>theranostic</w:t>
      </w:r>
      <w:proofErr w:type="spellEnd"/>
      <w:r w:rsidRPr="00E43BBA">
        <w:rPr>
          <w:rFonts w:eastAsia="Times New Roman" w:cstheme="minorHAnsi"/>
          <w:color w:val="000000"/>
          <w:sz w:val="24"/>
          <w:szCs w:val="24"/>
        </w:rPr>
        <w:t xml:space="preserve"> agent TGP18 with outstanding biocompatibility showed </w:t>
      </w:r>
      <w:r w:rsidRPr="00E43BBA">
        <w:rPr>
          <w:rFonts w:eastAsia="Times New Roman" w:cstheme="minorHAnsi"/>
          <w:i/>
          <w:iCs/>
          <w:color w:val="000000"/>
          <w:sz w:val="24"/>
          <w:szCs w:val="24"/>
        </w:rPr>
        <w:t>in vivo </w:t>
      </w:r>
      <w:r w:rsidRPr="00E43BBA">
        <w:rPr>
          <w:rFonts w:eastAsia="Times New Roman" w:cstheme="minorHAnsi"/>
          <w:color w:val="000000"/>
          <w:sz w:val="24"/>
          <w:szCs w:val="24"/>
        </w:rPr>
        <w:t>tumor inhibition and tissue imaging, indicating excellent clinical translational potential.</w:t>
      </w:r>
    </w:p>
    <w:p w:rsidR="00B515A8" w:rsidRPr="00E43BBA" w:rsidRDefault="00B515A8" w:rsidP="00E43BBA">
      <w:pPr>
        <w:shd w:val="clear" w:color="auto" w:fill="FFFFFF"/>
        <w:spacing w:after="109" w:line="240" w:lineRule="auto"/>
        <w:jc w:val="both"/>
        <w:rPr>
          <w:rFonts w:eastAsia="Times New Roman" w:cstheme="minorHAnsi"/>
          <w:color w:val="333333"/>
          <w:sz w:val="24"/>
          <w:szCs w:val="24"/>
        </w:rPr>
      </w:pPr>
    </w:p>
    <w:p w:rsidR="00E43BBA" w:rsidRPr="00E43BBA" w:rsidRDefault="00E43BBA" w:rsidP="00E43BBA">
      <w:pPr>
        <w:shd w:val="clear" w:color="auto" w:fill="FFFFFF"/>
        <w:spacing w:after="109" w:line="240" w:lineRule="auto"/>
        <w:jc w:val="both"/>
        <w:rPr>
          <w:rFonts w:eastAsia="Times New Roman" w:cstheme="minorHAnsi"/>
          <w:color w:val="333333"/>
          <w:sz w:val="24"/>
          <w:szCs w:val="24"/>
        </w:rPr>
      </w:pPr>
      <w:r w:rsidRPr="00E43BBA">
        <w:rPr>
          <w:rFonts w:eastAsia="Times New Roman" w:cstheme="minorHAnsi"/>
          <w:color w:val="000000"/>
          <w:sz w:val="24"/>
          <w:szCs w:val="24"/>
        </w:rPr>
        <w:t>G-</w:t>
      </w:r>
      <w:proofErr w:type="spellStart"/>
      <w:r w:rsidRPr="00E43BBA">
        <w:rPr>
          <w:rFonts w:eastAsia="Times New Roman" w:cstheme="minorHAnsi"/>
          <w:color w:val="000000"/>
          <w:sz w:val="24"/>
          <w:szCs w:val="24"/>
        </w:rPr>
        <w:t>quadruplexes</w:t>
      </w:r>
      <w:proofErr w:type="spellEnd"/>
      <w:r w:rsidRPr="00E43BBA">
        <w:rPr>
          <w:rFonts w:eastAsia="Times New Roman" w:cstheme="minorHAnsi"/>
          <w:color w:val="000000"/>
          <w:sz w:val="24"/>
          <w:szCs w:val="24"/>
        </w:rPr>
        <w:t xml:space="preserve"> (GQs) are non-canonical DNA secondary structures which regulate a wide range of cellular processes, including expression of several </w:t>
      </w:r>
      <w:proofErr w:type="spellStart"/>
      <w:r w:rsidRPr="00E43BBA">
        <w:rPr>
          <w:rFonts w:eastAsia="Times New Roman" w:cstheme="minorHAnsi"/>
          <w:color w:val="000000"/>
          <w:sz w:val="24"/>
          <w:szCs w:val="24"/>
        </w:rPr>
        <w:t>oncogenes</w:t>
      </w:r>
      <w:proofErr w:type="spellEnd"/>
      <w:r w:rsidRPr="00E43BBA">
        <w:rPr>
          <w:rFonts w:eastAsia="Times New Roman" w:cstheme="minorHAnsi"/>
          <w:color w:val="000000"/>
          <w:sz w:val="24"/>
          <w:szCs w:val="24"/>
        </w:rPr>
        <w:t xml:space="preserve">. In cancer cells, stabilization of GQs leads to replication stress and DNA damage accumulation and therefore considered as promising chemotherapeutic target. Despite the significant attempts to combine therapeutic and diagnostic properties in a single formulation, there are no concerted reports on small molecule </w:t>
      </w:r>
      <w:proofErr w:type="spellStart"/>
      <w:r w:rsidRPr="00E43BBA">
        <w:rPr>
          <w:rFonts w:eastAsia="Times New Roman" w:cstheme="minorHAnsi"/>
          <w:color w:val="000000"/>
          <w:sz w:val="24"/>
          <w:szCs w:val="24"/>
        </w:rPr>
        <w:t>theranostics</w:t>
      </w:r>
      <w:proofErr w:type="spellEnd"/>
      <w:r w:rsidRPr="00E43BBA">
        <w:rPr>
          <w:rFonts w:eastAsia="Times New Roman" w:cstheme="minorHAnsi"/>
          <w:color w:val="000000"/>
          <w:sz w:val="24"/>
          <w:szCs w:val="24"/>
        </w:rPr>
        <w:t xml:space="preserve">. Similarly, there are no molecules reported for the topology selective recognition of myriad of GQs, especially </w:t>
      </w:r>
      <w:proofErr w:type="spellStart"/>
      <w:r w:rsidRPr="00E43BBA">
        <w:rPr>
          <w:rFonts w:eastAsia="Times New Roman" w:cstheme="minorHAnsi"/>
          <w:color w:val="000000"/>
          <w:sz w:val="24"/>
          <w:szCs w:val="24"/>
        </w:rPr>
        <w:t>oncogenic</w:t>
      </w:r>
      <w:proofErr w:type="spellEnd"/>
      <w:r w:rsidRPr="00E43BBA">
        <w:rPr>
          <w:rFonts w:eastAsia="Times New Roman" w:cstheme="minorHAnsi"/>
          <w:color w:val="000000"/>
          <w:sz w:val="24"/>
          <w:szCs w:val="24"/>
        </w:rPr>
        <w:t xml:space="preserve"> GQs.</w:t>
      </w:r>
    </w:p>
    <w:p w:rsidR="00E43BBA" w:rsidRDefault="00E43BBA" w:rsidP="00E43BBA">
      <w:pPr>
        <w:shd w:val="clear" w:color="auto" w:fill="FFFFFF"/>
        <w:spacing w:after="109" w:line="240" w:lineRule="auto"/>
        <w:jc w:val="both"/>
        <w:rPr>
          <w:rFonts w:eastAsia="Times New Roman" w:cstheme="minorHAnsi"/>
          <w:color w:val="000000"/>
          <w:sz w:val="24"/>
          <w:szCs w:val="24"/>
        </w:rPr>
      </w:pPr>
      <w:r w:rsidRPr="00E43BBA">
        <w:rPr>
          <w:rFonts w:eastAsia="Times New Roman" w:cstheme="minorHAnsi"/>
          <w:color w:val="000000"/>
          <w:sz w:val="24"/>
          <w:szCs w:val="24"/>
        </w:rPr>
        <w:lastRenderedPageBreak/>
        <w:t xml:space="preserve">This study by the JNCASR team revealed that the selective recognition originating from the distinct loop structure of GQ that alters the overall probe interaction and binding affinity. TGP18 binding to anti-apoptotic BCL-2 GQ ablates the pro-survival function and elicit anti-cancer activity by inducing death in cancer cells. The JNCASR team deciphered that inhibition of BCL-2 transcription synergized with </w:t>
      </w:r>
      <w:proofErr w:type="spellStart"/>
      <w:r w:rsidRPr="00E43BBA">
        <w:rPr>
          <w:rFonts w:eastAsia="Times New Roman" w:cstheme="minorHAnsi"/>
          <w:color w:val="000000"/>
          <w:sz w:val="24"/>
          <w:szCs w:val="24"/>
        </w:rPr>
        <w:t>signalling</w:t>
      </w:r>
      <w:proofErr w:type="spellEnd"/>
      <w:r w:rsidRPr="00E43BBA">
        <w:rPr>
          <w:rFonts w:eastAsia="Times New Roman" w:cstheme="minorHAnsi"/>
          <w:color w:val="000000"/>
          <w:sz w:val="24"/>
          <w:szCs w:val="24"/>
        </w:rPr>
        <w:t xml:space="preserve"> cascade of </w:t>
      </w:r>
      <w:proofErr w:type="spellStart"/>
      <w:r w:rsidRPr="00E43BBA">
        <w:rPr>
          <w:rFonts w:eastAsia="Times New Roman" w:cstheme="minorHAnsi"/>
          <w:color w:val="000000"/>
          <w:sz w:val="24"/>
          <w:szCs w:val="24"/>
        </w:rPr>
        <w:t>nucleolar</w:t>
      </w:r>
      <w:proofErr w:type="spellEnd"/>
      <w:r w:rsidRPr="00E43BBA">
        <w:rPr>
          <w:rFonts w:eastAsia="Times New Roman" w:cstheme="minorHAnsi"/>
          <w:color w:val="000000"/>
          <w:sz w:val="24"/>
          <w:szCs w:val="24"/>
        </w:rPr>
        <w:t xml:space="preserve"> stress, DNA damage, and oxidative stress in triggering apoptosis </w:t>
      </w:r>
      <w:proofErr w:type="spellStart"/>
      <w:r w:rsidRPr="00E43BBA">
        <w:rPr>
          <w:rFonts w:eastAsia="Times New Roman" w:cstheme="minorHAnsi"/>
          <w:color w:val="000000"/>
          <w:sz w:val="24"/>
          <w:szCs w:val="24"/>
        </w:rPr>
        <w:t>signalling</w:t>
      </w:r>
      <w:proofErr w:type="spellEnd"/>
      <w:r w:rsidRPr="00E43BBA">
        <w:rPr>
          <w:rFonts w:eastAsia="Times New Roman" w:cstheme="minorHAnsi"/>
          <w:color w:val="000000"/>
          <w:sz w:val="24"/>
          <w:szCs w:val="24"/>
        </w:rPr>
        <w:t xml:space="preserve"> pathway. Intervention of GQ mediated lethality by TGP18 translated into anti-cancer activity in both </w:t>
      </w:r>
      <w:r w:rsidRPr="00E43BBA">
        <w:rPr>
          <w:rFonts w:eastAsia="Times New Roman" w:cstheme="minorHAnsi"/>
          <w:i/>
          <w:iCs/>
          <w:color w:val="000000"/>
          <w:sz w:val="24"/>
          <w:szCs w:val="24"/>
        </w:rPr>
        <w:t>in vitro </w:t>
      </w:r>
      <w:r w:rsidRPr="00E43BBA">
        <w:rPr>
          <w:rFonts w:eastAsia="Times New Roman" w:cstheme="minorHAnsi"/>
          <w:color w:val="000000"/>
          <w:sz w:val="24"/>
          <w:szCs w:val="24"/>
        </w:rPr>
        <w:t>3D spheroid culture and</w:t>
      </w:r>
      <w:r w:rsidRPr="00E43BBA">
        <w:rPr>
          <w:rFonts w:eastAsia="Times New Roman" w:cstheme="minorHAnsi"/>
          <w:i/>
          <w:iCs/>
          <w:color w:val="000000"/>
          <w:sz w:val="24"/>
          <w:szCs w:val="24"/>
        </w:rPr>
        <w:t> in vivo </w:t>
      </w:r>
      <w:proofErr w:type="spellStart"/>
      <w:r w:rsidRPr="00E43BBA">
        <w:rPr>
          <w:rFonts w:eastAsia="Times New Roman" w:cstheme="minorHAnsi"/>
          <w:color w:val="000000"/>
          <w:sz w:val="24"/>
          <w:szCs w:val="24"/>
        </w:rPr>
        <w:t>xenograft</w:t>
      </w:r>
      <w:proofErr w:type="spellEnd"/>
      <w:r w:rsidRPr="00E43BBA">
        <w:rPr>
          <w:rFonts w:eastAsia="Times New Roman" w:cstheme="minorHAnsi"/>
          <w:color w:val="000000"/>
          <w:sz w:val="24"/>
          <w:szCs w:val="24"/>
        </w:rPr>
        <w:t xml:space="preserve"> models of lung and breast cancer with superior efficacy for the former. </w:t>
      </w:r>
      <w:r w:rsidRPr="00E43BBA">
        <w:rPr>
          <w:rFonts w:eastAsia="Times New Roman" w:cstheme="minorHAnsi"/>
          <w:i/>
          <w:iCs/>
          <w:color w:val="000000"/>
          <w:sz w:val="24"/>
          <w:szCs w:val="24"/>
        </w:rPr>
        <w:t>In vivo</w:t>
      </w:r>
      <w:r w:rsidRPr="00E43BBA">
        <w:rPr>
          <w:rFonts w:eastAsia="Times New Roman" w:cstheme="minorHAnsi"/>
          <w:color w:val="000000"/>
          <w:sz w:val="24"/>
          <w:szCs w:val="24"/>
        </w:rPr>
        <w:t xml:space="preserve"> therapeutic efficacy, supplemented with tumor 3D spheroid and tissue imaging potential define the role of TGP18 in GQ-targeted cancer </w:t>
      </w:r>
      <w:proofErr w:type="spellStart"/>
      <w:r w:rsidRPr="00E43BBA">
        <w:rPr>
          <w:rFonts w:eastAsia="Times New Roman" w:cstheme="minorHAnsi"/>
          <w:color w:val="000000"/>
          <w:sz w:val="24"/>
          <w:szCs w:val="24"/>
        </w:rPr>
        <w:t>theranostics</w:t>
      </w:r>
      <w:proofErr w:type="spellEnd"/>
      <w:r w:rsidRPr="00E43BBA">
        <w:rPr>
          <w:rFonts w:eastAsia="Times New Roman" w:cstheme="minorHAnsi"/>
          <w:color w:val="000000"/>
          <w:sz w:val="24"/>
          <w:szCs w:val="24"/>
        </w:rPr>
        <w:t>.</w:t>
      </w:r>
    </w:p>
    <w:p w:rsidR="00B515A8" w:rsidRPr="00E43BBA" w:rsidRDefault="00B515A8" w:rsidP="00E43BBA">
      <w:pPr>
        <w:shd w:val="clear" w:color="auto" w:fill="FFFFFF"/>
        <w:spacing w:after="109" w:line="240" w:lineRule="auto"/>
        <w:jc w:val="both"/>
        <w:rPr>
          <w:rFonts w:eastAsia="Times New Roman" w:cstheme="minorHAnsi"/>
          <w:color w:val="333333"/>
          <w:sz w:val="24"/>
          <w:szCs w:val="24"/>
        </w:rPr>
      </w:pPr>
    </w:p>
    <w:p w:rsidR="00E43BBA" w:rsidRDefault="00E43BBA" w:rsidP="00E43BBA">
      <w:pPr>
        <w:shd w:val="clear" w:color="auto" w:fill="FFFFFF"/>
        <w:spacing w:after="109" w:line="240" w:lineRule="auto"/>
        <w:jc w:val="both"/>
        <w:rPr>
          <w:rFonts w:eastAsia="Times New Roman" w:cstheme="minorHAnsi"/>
          <w:color w:val="000000"/>
          <w:sz w:val="24"/>
          <w:szCs w:val="24"/>
        </w:rPr>
      </w:pPr>
      <w:proofErr w:type="gramStart"/>
      <w:r w:rsidRPr="00E43BBA">
        <w:rPr>
          <w:rFonts w:eastAsia="Times New Roman" w:cstheme="minorHAnsi"/>
          <w:color w:val="000000"/>
          <w:sz w:val="24"/>
          <w:szCs w:val="24"/>
        </w:rPr>
        <w:t xml:space="preserve">According to their findings, a remarkably lower dosage of TGP18 (0.5 mg/kg) showed anti-lung tumor activity similar to anticancer drug </w:t>
      </w:r>
      <w:proofErr w:type="spellStart"/>
      <w:r w:rsidRPr="00E43BBA">
        <w:rPr>
          <w:rFonts w:eastAsia="Times New Roman" w:cstheme="minorHAnsi"/>
          <w:color w:val="000000"/>
          <w:sz w:val="24"/>
          <w:szCs w:val="24"/>
        </w:rPr>
        <w:t>gemcitabine</w:t>
      </w:r>
      <w:proofErr w:type="spellEnd"/>
      <w:r w:rsidRPr="00E43BBA">
        <w:rPr>
          <w:rFonts w:eastAsia="Times New Roman" w:cstheme="minorHAnsi"/>
          <w:color w:val="000000"/>
          <w:sz w:val="24"/>
          <w:szCs w:val="24"/>
        </w:rPr>
        <w:t xml:space="preserve"> at a very high dose of 100 mg/kg.</w:t>
      </w:r>
      <w:proofErr w:type="gramEnd"/>
      <w:r w:rsidRPr="00E43BBA">
        <w:rPr>
          <w:rFonts w:eastAsia="Times New Roman" w:cstheme="minorHAnsi"/>
          <w:color w:val="000000"/>
          <w:sz w:val="24"/>
          <w:szCs w:val="24"/>
        </w:rPr>
        <w:t xml:space="preserve"> The therapeutic agent TGP18 was found to reach the target tumor site as monitored by its far-red imaging of the tumor tissue.</w:t>
      </w:r>
    </w:p>
    <w:p w:rsidR="00B515A8" w:rsidRPr="00E43BBA" w:rsidRDefault="00B515A8" w:rsidP="00E43BBA">
      <w:pPr>
        <w:shd w:val="clear" w:color="auto" w:fill="FFFFFF"/>
        <w:spacing w:after="109" w:line="240" w:lineRule="auto"/>
        <w:jc w:val="both"/>
        <w:rPr>
          <w:rFonts w:eastAsia="Times New Roman" w:cstheme="minorHAnsi"/>
          <w:color w:val="333333"/>
          <w:sz w:val="24"/>
          <w:szCs w:val="24"/>
        </w:rPr>
      </w:pPr>
    </w:p>
    <w:p w:rsidR="00E43BBA" w:rsidRPr="00E43BBA" w:rsidRDefault="00E43BBA" w:rsidP="00E43BBA">
      <w:pPr>
        <w:shd w:val="clear" w:color="auto" w:fill="FFFFFF"/>
        <w:spacing w:after="109" w:line="240" w:lineRule="auto"/>
        <w:jc w:val="both"/>
        <w:rPr>
          <w:rFonts w:eastAsia="Times New Roman" w:cstheme="minorHAnsi"/>
          <w:color w:val="333333"/>
          <w:sz w:val="24"/>
          <w:szCs w:val="24"/>
        </w:rPr>
      </w:pPr>
      <w:r w:rsidRPr="00E43BBA">
        <w:rPr>
          <w:rFonts w:eastAsia="Times New Roman" w:cstheme="minorHAnsi"/>
          <w:color w:val="000000"/>
          <w:sz w:val="24"/>
          <w:szCs w:val="24"/>
        </w:rPr>
        <w:t xml:space="preserve">This methodology can be further exploited to develop cancer-type specific </w:t>
      </w:r>
      <w:proofErr w:type="spellStart"/>
      <w:r w:rsidRPr="00E43BBA">
        <w:rPr>
          <w:rFonts w:eastAsia="Times New Roman" w:cstheme="minorHAnsi"/>
          <w:color w:val="000000"/>
          <w:sz w:val="24"/>
          <w:szCs w:val="24"/>
        </w:rPr>
        <w:t>theranostic</w:t>
      </w:r>
      <w:proofErr w:type="spellEnd"/>
      <w:r w:rsidRPr="00E43BBA">
        <w:rPr>
          <w:rFonts w:eastAsia="Times New Roman" w:cstheme="minorHAnsi"/>
          <w:color w:val="000000"/>
          <w:sz w:val="24"/>
          <w:szCs w:val="24"/>
        </w:rPr>
        <w:t xml:space="preserve"> drugs with tremendous implications in personalized medicine.</w:t>
      </w:r>
      <w:r w:rsidRPr="00E43BBA">
        <w:rPr>
          <w:rFonts w:eastAsia="Times New Roman" w:cstheme="minorHAnsi"/>
          <w:color w:val="333333"/>
          <w:sz w:val="24"/>
          <w:szCs w:val="24"/>
        </w:rPr>
        <w:t> A patent application has been already filed for this invention.</w:t>
      </w:r>
    </w:p>
    <w:p w:rsidR="00E43BBA" w:rsidRPr="00E43BBA" w:rsidRDefault="00E43BBA" w:rsidP="00E43BBA">
      <w:pPr>
        <w:shd w:val="clear" w:color="auto" w:fill="FFFFFF"/>
        <w:spacing w:after="109" w:line="240" w:lineRule="auto"/>
        <w:ind w:right="917"/>
        <w:jc w:val="both"/>
        <w:rPr>
          <w:rFonts w:eastAsia="Times New Roman" w:cstheme="minorHAnsi"/>
          <w:color w:val="333333"/>
          <w:sz w:val="24"/>
          <w:szCs w:val="24"/>
        </w:rPr>
      </w:pPr>
      <w:r w:rsidRPr="00E43BBA">
        <w:rPr>
          <w:rFonts w:eastAsia="Times New Roman" w:cstheme="minorHAnsi"/>
          <w:color w:val="333333"/>
          <w:sz w:val="24"/>
          <w:szCs w:val="24"/>
        </w:rPr>
        <w:t> </w:t>
      </w:r>
    </w:p>
    <w:p w:rsidR="00E43BBA" w:rsidRPr="00E43BBA" w:rsidRDefault="00E43BBA" w:rsidP="00B515A8">
      <w:pPr>
        <w:shd w:val="clear" w:color="auto" w:fill="FFFFFF"/>
        <w:spacing w:after="109" w:line="240" w:lineRule="auto"/>
        <w:jc w:val="center"/>
        <w:rPr>
          <w:rFonts w:eastAsia="Times New Roman" w:cstheme="minorHAnsi"/>
          <w:color w:val="333333"/>
          <w:sz w:val="24"/>
          <w:szCs w:val="24"/>
        </w:rPr>
      </w:pPr>
      <w:r w:rsidRPr="00E43BBA">
        <w:rPr>
          <w:rFonts w:eastAsia="Times New Roman" w:cstheme="minorHAnsi"/>
          <w:noProof/>
          <w:color w:val="333333"/>
          <w:sz w:val="24"/>
          <w:szCs w:val="24"/>
        </w:rPr>
        <w:drawing>
          <wp:inline distT="0" distB="0" distL="0" distR="0">
            <wp:extent cx="2424430" cy="1648460"/>
            <wp:effectExtent l="19050" t="0" r="0" b="0"/>
            <wp:docPr id="38" name="Picture 38" descr="https://static.pib.gov.in/WriteReadData/userfiles/image/1A6N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static.pib.gov.in/WriteReadData/userfiles/image/1A6N9.jpg"/>
                    <pic:cNvPicPr>
                      <a:picLocks noChangeAspect="1" noChangeArrowheads="1"/>
                    </pic:cNvPicPr>
                  </pic:nvPicPr>
                  <pic:blipFill>
                    <a:blip r:embed="rId6"/>
                    <a:srcRect/>
                    <a:stretch>
                      <a:fillRect/>
                    </a:stretch>
                  </pic:blipFill>
                  <pic:spPr bwMode="auto">
                    <a:xfrm>
                      <a:off x="0" y="0"/>
                      <a:ext cx="2424430" cy="1648460"/>
                    </a:xfrm>
                    <a:prstGeom prst="rect">
                      <a:avLst/>
                    </a:prstGeom>
                    <a:noFill/>
                    <a:ln w="9525">
                      <a:noFill/>
                      <a:miter lim="800000"/>
                      <a:headEnd/>
                      <a:tailEnd/>
                    </a:ln>
                  </pic:spPr>
                </pic:pic>
              </a:graphicData>
            </a:graphic>
          </wp:inline>
        </w:drawing>
      </w:r>
    </w:p>
    <w:p w:rsidR="00E43BBA" w:rsidRPr="00E43BBA" w:rsidRDefault="00E43BBA" w:rsidP="00B515A8">
      <w:pPr>
        <w:shd w:val="clear" w:color="auto" w:fill="FFFFFF"/>
        <w:spacing w:after="109" w:line="240" w:lineRule="auto"/>
        <w:jc w:val="center"/>
        <w:rPr>
          <w:rFonts w:eastAsia="Times New Roman" w:cstheme="minorHAnsi"/>
          <w:color w:val="333333"/>
          <w:sz w:val="24"/>
          <w:szCs w:val="24"/>
        </w:rPr>
      </w:pPr>
      <w:r w:rsidRPr="00E43BBA">
        <w:rPr>
          <w:rFonts w:eastAsia="Times New Roman" w:cstheme="minorHAnsi"/>
          <w:noProof/>
          <w:color w:val="333333"/>
          <w:sz w:val="24"/>
          <w:szCs w:val="24"/>
        </w:rPr>
        <w:drawing>
          <wp:inline distT="0" distB="0" distL="0" distR="0">
            <wp:extent cx="1628140" cy="1219200"/>
            <wp:effectExtent l="19050" t="0" r="0" b="0"/>
            <wp:docPr id="39" name="Picture 39" descr="A close up of a logo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A close up of a logoDescription automatically generated"/>
                    <pic:cNvPicPr>
                      <a:picLocks noChangeAspect="1" noChangeArrowheads="1"/>
                    </pic:cNvPicPr>
                  </pic:nvPicPr>
                  <pic:blipFill>
                    <a:blip r:embed="rId7"/>
                    <a:srcRect/>
                    <a:stretch>
                      <a:fillRect/>
                    </a:stretch>
                  </pic:blipFill>
                  <pic:spPr bwMode="auto">
                    <a:xfrm>
                      <a:off x="0" y="0"/>
                      <a:ext cx="1628140" cy="1219200"/>
                    </a:xfrm>
                    <a:prstGeom prst="rect">
                      <a:avLst/>
                    </a:prstGeom>
                    <a:noFill/>
                    <a:ln w="9525">
                      <a:noFill/>
                      <a:miter lim="800000"/>
                      <a:headEnd/>
                      <a:tailEnd/>
                    </a:ln>
                  </pic:spPr>
                </pic:pic>
              </a:graphicData>
            </a:graphic>
          </wp:inline>
        </w:drawing>
      </w:r>
    </w:p>
    <w:p w:rsidR="00E43BBA" w:rsidRPr="00E43BBA" w:rsidRDefault="00E43BBA" w:rsidP="00E43BBA">
      <w:pPr>
        <w:shd w:val="clear" w:color="auto" w:fill="FFFFFF"/>
        <w:spacing w:after="109" w:line="240" w:lineRule="auto"/>
        <w:jc w:val="both"/>
        <w:rPr>
          <w:rFonts w:eastAsia="Times New Roman" w:cstheme="minorHAnsi"/>
          <w:color w:val="333333"/>
          <w:sz w:val="24"/>
          <w:szCs w:val="24"/>
        </w:rPr>
      </w:pPr>
      <w:r w:rsidRPr="00E43BBA">
        <w:rPr>
          <w:rFonts w:eastAsia="Times New Roman" w:cstheme="minorHAnsi"/>
          <w:color w:val="333333"/>
          <w:sz w:val="24"/>
          <w:szCs w:val="24"/>
        </w:rPr>
        <w:t> </w:t>
      </w:r>
    </w:p>
    <w:p w:rsidR="00E43BBA" w:rsidRPr="00E43BBA" w:rsidRDefault="00E43BBA" w:rsidP="00E43BBA">
      <w:pPr>
        <w:shd w:val="clear" w:color="auto" w:fill="FFFFFF"/>
        <w:spacing w:after="109" w:line="240" w:lineRule="auto"/>
        <w:jc w:val="both"/>
        <w:rPr>
          <w:rFonts w:eastAsia="Times New Roman" w:cstheme="minorHAnsi"/>
          <w:color w:val="333333"/>
          <w:sz w:val="24"/>
          <w:szCs w:val="24"/>
        </w:rPr>
      </w:pPr>
      <w:r w:rsidRPr="00E43BBA">
        <w:rPr>
          <w:rFonts w:eastAsia="Times New Roman" w:cstheme="minorHAnsi"/>
          <w:color w:val="333333"/>
          <w:sz w:val="24"/>
          <w:szCs w:val="24"/>
        </w:rPr>
        <w:t> </w:t>
      </w:r>
    </w:p>
    <w:p w:rsidR="00E43BBA" w:rsidRPr="00E43BBA" w:rsidRDefault="00E43BBA" w:rsidP="00E43BBA">
      <w:pPr>
        <w:shd w:val="clear" w:color="auto" w:fill="FFFFFF"/>
        <w:spacing w:after="109" w:line="240" w:lineRule="auto"/>
        <w:jc w:val="both"/>
        <w:rPr>
          <w:rFonts w:eastAsia="Times New Roman" w:cstheme="minorHAnsi"/>
          <w:color w:val="333333"/>
          <w:sz w:val="24"/>
          <w:szCs w:val="24"/>
        </w:rPr>
      </w:pPr>
      <w:r w:rsidRPr="00E43BBA">
        <w:rPr>
          <w:rFonts w:eastAsia="Times New Roman" w:cstheme="minorHAnsi"/>
          <w:color w:val="333333"/>
          <w:sz w:val="24"/>
          <w:szCs w:val="24"/>
        </w:rPr>
        <w:t> </w:t>
      </w:r>
    </w:p>
    <w:p w:rsidR="00E43BBA" w:rsidRPr="00E43BBA" w:rsidRDefault="00E43BBA" w:rsidP="00E43BBA">
      <w:pPr>
        <w:shd w:val="clear" w:color="auto" w:fill="FFFFFF"/>
        <w:spacing w:after="109" w:line="240" w:lineRule="auto"/>
        <w:jc w:val="both"/>
        <w:rPr>
          <w:rFonts w:eastAsia="Times New Roman" w:cstheme="minorHAnsi"/>
          <w:color w:val="333333"/>
          <w:sz w:val="24"/>
          <w:szCs w:val="24"/>
        </w:rPr>
      </w:pPr>
      <w:r w:rsidRPr="00E43BBA">
        <w:rPr>
          <w:rFonts w:eastAsia="Times New Roman" w:cstheme="minorHAnsi"/>
          <w:noProof/>
          <w:color w:val="333333"/>
          <w:sz w:val="24"/>
          <w:szCs w:val="24"/>
        </w:rPr>
        <w:lastRenderedPageBreak/>
        <w:drawing>
          <wp:inline distT="0" distB="0" distL="0" distR="0">
            <wp:extent cx="1939925" cy="1821815"/>
            <wp:effectExtent l="19050" t="0" r="3175" b="0"/>
            <wp:docPr id="40" name="Picture 40" descr="A picture containing clock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A picture containing clockDescription automatically generated"/>
                    <pic:cNvPicPr>
                      <a:picLocks noChangeAspect="1" noChangeArrowheads="1"/>
                    </pic:cNvPicPr>
                  </pic:nvPicPr>
                  <pic:blipFill>
                    <a:blip r:embed="rId8"/>
                    <a:srcRect/>
                    <a:stretch>
                      <a:fillRect/>
                    </a:stretch>
                  </pic:blipFill>
                  <pic:spPr bwMode="auto">
                    <a:xfrm>
                      <a:off x="0" y="0"/>
                      <a:ext cx="1939925" cy="1821815"/>
                    </a:xfrm>
                    <a:prstGeom prst="rect">
                      <a:avLst/>
                    </a:prstGeom>
                    <a:noFill/>
                    <a:ln w="9525">
                      <a:noFill/>
                      <a:miter lim="800000"/>
                      <a:headEnd/>
                      <a:tailEnd/>
                    </a:ln>
                  </pic:spPr>
                </pic:pic>
              </a:graphicData>
            </a:graphic>
          </wp:inline>
        </w:drawing>
      </w:r>
      <w:r w:rsidRPr="00E43BBA">
        <w:rPr>
          <w:rFonts w:eastAsia="Times New Roman" w:cstheme="minorHAnsi"/>
          <w:noProof/>
          <w:color w:val="333333"/>
          <w:sz w:val="24"/>
          <w:szCs w:val="24"/>
        </w:rPr>
        <w:drawing>
          <wp:inline distT="0" distB="0" distL="0" distR="0">
            <wp:extent cx="1856740" cy="1184275"/>
            <wp:effectExtent l="19050" t="0" r="0" b="0"/>
            <wp:docPr id="41" name="Picture 41" descr="https://static.pib.gov.in/WriteReadData/userfiles/image/4JU7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static.pib.gov.in/WriteReadData/userfiles/image/4JU7C.jpg"/>
                    <pic:cNvPicPr>
                      <a:picLocks noChangeAspect="1" noChangeArrowheads="1"/>
                    </pic:cNvPicPr>
                  </pic:nvPicPr>
                  <pic:blipFill>
                    <a:blip r:embed="rId9"/>
                    <a:srcRect/>
                    <a:stretch>
                      <a:fillRect/>
                    </a:stretch>
                  </pic:blipFill>
                  <pic:spPr bwMode="auto">
                    <a:xfrm>
                      <a:off x="0" y="0"/>
                      <a:ext cx="1856740" cy="1184275"/>
                    </a:xfrm>
                    <a:prstGeom prst="rect">
                      <a:avLst/>
                    </a:prstGeom>
                    <a:noFill/>
                    <a:ln w="9525">
                      <a:noFill/>
                      <a:miter lim="800000"/>
                      <a:headEnd/>
                      <a:tailEnd/>
                    </a:ln>
                  </pic:spPr>
                </pic:pic>
              </a:graphicData>
            </a:graphic>
          </wp:inline>
        </w:drawing>
      </w:r>
      <w:r w:rsidRPr="00E43BBA">
        <w:rPr>
          <w:rFonts w:eastAsia="Times New Roman" w:cstheme="minorHAnsi"/>
          <w:noProof/>
          <w:color w:val="333333"/>
          <w:sz w:val="24"/>
          <w:szCs w:val="24"/>
        </w:rPr>
        <w:drawing>
          <wp:inline distT="0" distB="0" distL="0" distR="0">
            <wp:extent cx="1856740" cy="1343660"/>
            <wp:effectExtent l="19050" t="0" r="0" b="0"/>
            <wp:docPr id="42" name="Picture 42" descr="https://static.pib.gov.in/WriteReadData/userfiles/image/539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static.pib.gov.in/WriteReadData/userfiles/image/539ME.jpg"/>
                    <pic:cNvPicPr>
                      <a:picLocks noChangeAspect="1" noChangeArrowheads="1"/>
                    </pic:cNvPicPr>
                  </pic:nvPicPr>
                  <pic:blipFill>
                    <a:blip r:embed="rId10"/>
                    <a:srcRect/>
                    <a:stretch>
                      <a:fillRect/>
                    </a:stretch>
                  </pic:blipFill>
                  <pic:spPr bwMode="auto">
                    <a:xfrm>
                      <a:off x="0" y="0"/>
                      <a:ext cx="1856740" cy="1343660"/>
                    </a:xfrm>
                    <a:prstGeom prst="rect">
                      <a:avLst/>
                    </a:prstGeom>
                    <a:noFill/>
                    <a:ln w="9525">
                      <a:noFill/>
                      <a:miter lim="800000"/>
                      <a:headEnd/>
                      <a:tailEnd/>
                    </a:ln>
                  </pic:spPr>
                </pic:pic>
              </a:graphicData>
            </a:graphic>
          </wp:inline>
        </w:drawing>
      </w:r>
    </w:p>
    <w:p w:rsidR="00E43BBA" w:rsidRPr="00E43BBA" w:rsidRDefault="00E43BBA" w:rsidP="00E43BBA">
      <w:pPr>
        <w:shd w:val="clear" w:color="auto" w:fill="FFFFFF"/>
        <w:spacing w:after="109" w:line="240" w:lineRule="auto"/>
        <w:jc w:val="both"/>
        <w:rPr>
          <w:rFonts w:eastAsia="Times New Roman" w:cstheme="minorHAnsi"/>
          <w:color w:val="333333"/>
          <w:sz w:val="24"/>
          <w:szCs w:val="24"/>
        </w:rPr>
      </w:pPr>
      <w:r w:rsidRPr="00E43BBA">
        <w:rPr>
          <w:rFonts w:eastAsia="Times New Roman" w:cstheme="minorHAnsi"/>
          <w:color w:val="333333"/>
          <w:sz w:val="24"/>
          <w:szCs w:val="24"/>
        </w:rPr>
        <w:t> </w:t>
      </w:r>
    </w:p>
    <w:p w:rsidR="00E43BBA" w:rsidRPr="00E43BBA" w:rsidRDefault="00E43BBA" w:rsidP="00B515A8">
      <w:pPr>
        <w:shd w:val="clear" w:color="auto" w:fill="FFFFFF"/>
        <w:spacing w:after="109" w:line="240" w:lineRule="auto"/>
        <w:jc w:val="both"/>
        <w:rPr>
          <w:rFonts w:eastAsia="Times New Roman" w:cstheme="minorHAnsi"/>
          <w:color w:val="333333"/>
          <w:sz w:val="24"/>
          <w:szCs w:val="24"/>
        </w:rPr>
      </w:pPr>
      <w:r w:rsidRPr="00E43BBA">
        <w:rPr>
          <w:rFonts w:eastAsia="Times New Roman" w:cstheme="minorHAnsi"/>
          <w:color w:val="333333"/>
          <w:sz w:val="24"/>
          <w:szCs w:val="24"/>
        </w:rPr>
        <w:t> </w:t>
      </w:r>
    </w:p>
    <w:p w:rsidR="00E43BBA" w:rsidRPr="00E43BBA" w:rsidRDefault="00E43BBA" w:rsidP="00E43BBA">
      <w:pPr>
        <w:shd w:val="clear" w:color="auto" w:fill="FFFFFF"/>
        <w:spacing w:after="109" w:line="240" w:lineRule="auto"/>
        <w:ind w:left="2160"/>
        <w:jc w:val="both"/>
        <w:rPr>
          <w:rFonts w:eastAsia="Times New Roman" w:cstheme="minorHAnsi"/>
          <w:color w:val="333333"/>
          <w:sz w:val="24"/>
          <w:szCs w:val="24"/>
        </w:rPr>
      </w:pPr>
      <w:r w:rsidRPr="00E43BBA">
        <w:rPr>
          <w:rFonts w:eastAsia="Times New Roman" w:cstheme="minorHAnsi"/>
          <w:color w:val="333333"/>
          <w:sz w:val="24"/>
          <w:szCs w:val="24"/>
        </w:rPr>
        <w:t> </w:t>
      </w:r>
    </w:p>
    <w:p w:rsidR="00E43BBA" w:rsidRPr="00E43BBA" w:rsidRDefault="00E43BBA" w:rsidP="00E43BBA">
      <w:pPr>
        <w:shd w:val="clear" w:color="auto" w:fill="FFFFFF"/>
        <w:spacing w:after="109" w:line="240" w:lineRule="auto"/>
        <w:ind w:left="2160"/>
        <w:jc w:val="both"/>
        <w:rPr>
          <w:rFonts w:eastAsia="Times New Roman" w:cstheme="minorHAnsi"/>
          <w:color w:val="333333"/>
          <w:sz w:val="24"/>
          <w:szCs w:val="24"/>
        </w:rPr>
      </w:pPr>
      <w:r w:rsidRPr="00E43BBA">
        <w:rPr>
          <w:rFonts w:eastAsia="Times New Roman" w:cstheme="minorHAnsi"/>
          <w:color w:val="000000"/>
          <w:sz w:val="24"/>
          <w:szCs w:val="24"/>
        </w:rPr>
        <w:t>[</w:t>
      </w:r>
      <w:r w:rsidRPr="00E43BBA">
        <w:rPr>
          <w:rFonts w:eastAsia="Times New Roman" w:cstheme="minorHAnsi"/>
          <w:b/>
          <w:bCs/>
          <w:color w:val="000000"/>
          <w:sz w:val="24"/>
          <w:szCs w:val="24"/>
        </w:rPr>
        <w:t xml:space="preserve">Publication link: </w:t>
      </w:r>
      <w:proofErr w:type="gramStart"/>
      <w:r w:rsidRPr="00E43BBA">
        <w:rPr>
          <w:rFonts w:eastAsia="Times New Roman" w:cstheme="minorHAnsi"/>
          <w:b/>
          <w:bCs/>
          <w:color w:val="000000"/>
          <w:sz w:val="24"/>
          <w:szCs w:val="24"/>
        </w:rPr>
        <w:t>[ DOI</w:t>
      </w:r>
      <w:proofErr w:type="gramEnd"/>
      <w:r w:rsidRPr="00E43BBA">
        <w:rPr>
          <w:rFonts w:eastAsia="Times New Roman" w:cstheme="minorHAnsi"/>
          <w:b/>
          <w:bCs/>
          <w:color w:val="000000"/>
          <w:sz w:val="24"/>
          <w:szCs w:val="24"/>
        </w:rPr>
        <w:t>: 10.7150/thno.48675</w:t>
      </w:r>
    </w:p>
    <w:p w:rsidR="00E43BBA" w:rsidRPr="00E43BBA" w:rsidRDefault="00E43BBA" w:rsidP="00E43BBA">
      <w:pPr>
        <w:shd w:val="clear" w:color="auto" w:fill="FFFFFF"/>
        <w:spacing w:after="109" w:line="240" w:lineRule="auto"/>
        <w:jc w:val="both"/>
        <w:rPr>
          <w:rFonts w:eastAsia="Times New Roman" w:cstheme="minorHAnsi"/>
          <w:color w:val="333333"/>
          <w:sz w:val="24"/>
          <w:szCs w:val="24"/>
        </w:rPr>
      </w:pPr>
      <w:r w:rsidRPr="00E43BBA">
        <w:rPr>
          <w:rFonts w:eastAsia="Times New Roman" w:cstheme="minorHAnsi"/>
          <w:b/>
          <w:bCs/>
          <w:i/>
          <w:iCs/>
          <w:color w:val="000000"/>
          <w:sz w:val="24"/>
          <w:szCs w:val="24"/>
        </w:rPr>
        <w:t xml:space="preserve">For more details, Prof. T. </w:t>
      </w:r>
      <w:proofErr w:type="spellStart"/>
      <w:r w:rsidRPr="00E43BBA">
        <w:rPr>
          <w:rFonts w:eastAsia="Times New Roman" w:cstheme="minorHAnsi"/>
          <w:b/>
          <w:bCs/>
          <w:i/>
          <w:iCs/>
          <w:color w:val="000000"/>
          <w:sz w:val="24"/>
          <w:szCs w:val="24"/>
        </w:rPr>
        <w:t>Govindaraju</w:t>
      </w:r>
      <w:proofErr w:type="spellEnd"/>
      <w:r w:rsidRPr="00E43BBA">
        <w:rPr>
          <w:rFonts w:eastAsia="Times New Roman" w:cstheme="minorHAnsi"/>
          <w:b/>
          <w:bCs/>
          <w:i/>
          <w:iCs/>
          <w:color w:val="000000"/>
          <w:sz w:val="24"/>
          <w:szCs w:val="24"/>
        </w:rPr>
        <w:t xml:space="preserve"> (</w:t>
      </w:r>
      <w:hyperlink r:id="rId11" w:history="1">
        <w:r w:rsidRPr="00E43BBA">
          <w:rPr>
            <w:rFonts w:eastAsia="Times New Roman" w:cstheme="minorHAnsi"/>
            <w:b/>
            <w:bCs/>
            <w:i/>
            <w:iCs/>
            <w:color w:val="055193"/>
            <w:sz w:val="24"/>
            <w:szCs w:val="24"/>
          </w:rPr>
          <w:t>tgraju@jncasr.ac.in</w:t>
        </w:r>
      </w:hyperlink>
      <w:proofErr w:type="gramStart"/>
      <w:r w:rsidRPr="00E43BBA">
        <w:rPr>
          <w:rFonts w:eastAsia="Times New Roman" w:cstheme="minorHAnsi"/>
          <w:b/>
          <w:bCs/>
          <w:i/>
          <w:iCs/>
          <w:color w:val="000000"/>
          <w:sz w:val="24"/>
          <w:szCs w:val="24"/>
        </w:rPr>
        <w:t>;+</w:t>
      </w:r>
      <w:proofErr w:type="gramEnd"/>
      <w:r w:rsidRPr="00E43BBA">
        <w:rPr>
          <w:rFonts w:eastAsia="Times New Roman" w:cstheme="minorHAnsi"/>
          <w:b/>
          <w:bCs/>
          <w:i/>
          <w:iCs/>
          <w:color w:val="000000"/>
          <w:sz w:val="24"/>
          <w:szCs w:val="24"/>
        </w:rPr>
        <w:t>91 8022082969) can be contacted.]</w:t>
      </w:r>
    </w:p>
    <w:p w:rsidR="00B515A8" w:rsidRDefault="00B515A8" w:rsidP="00E43BBA">
      <w:pPr>
        <w:pStyle w:val="Heading2"/>
        <w:shd w:val="clear" w:color="auto" w:fill="FFFFFF"/>
        <w:spacing w:before="218" w:beforeAutospacing="0" w:after="109" w:afterAutospacing="0"/>
        <w:jc w:val="center"/>
        <w:rPr>
          <w:rFonts w:asciiTheme="minorHAnsi" w:hAnsiTheme="minorHAnsi" w:cstheme="minorHAnsi"/>
          <w:color w:val="AB172A"/>
          <w:sz w:val="24"/>
          <w:szCs w:val="24"/>
        </w:rPr>
      </w:pPr>
    </w:p>
    <w:p w:rsidR="001B350F" w:rsidRPr="00B20382" w:rsidRDefault="001B350F" w:rsidP="00B515A8">
      <w:pPr>
        <w:pStyle w:val="Heading2"/>
        <w:shd w:val="clear" w:color="auto" w:fill="FFFFFF"/>
        <w:spacing w:before="218" w:beforeAutospacing="0" w:after="109" w:afterAutospacing="0"/>
        <w:rPr>
          <w:rFonts w:asciiTheme="minorHAnsi" w:hAnsiTheme="minorHAnsi" w:cstheme="minorHAnsi"/>
          <w:b w:val="0"/>
          <w:color w:val="AB172A"/>
          <w:sz w:val="24"/>
          <w:szCs w:val="24"/>
        </w:rPr>
      </w:pPr>
      <w:r w:rsidRPr="00B20382">
        <w:rPr>
          <w:rFonts w:asciiTheme="minorHAnsi" w:hAnsiTheme="minorHAnsi" w:cstheme="minorHAnsi"/>
          <w:color w:val="AB172A"/>
          <w:sz w:val="24"/>
          <w:szCs w:val="24"/>
        </w:rPr>
        <w:t>Source</w:t>
      </w:r>
    </w:p>
    <w:p w:rsidR="001B350F" w:rsidRPr="00D30959" w:rsidRDefault="001B350F" w:rsidP="005D10A3">
      <w:pPr>
        <w:shd w:val="clear" w:color="auto" w:fill="FFFFFF"/>
        <w:spacing w:after="109" w:line="240" w:lineRule="auto"/>
        <w:jc w:val="both"/>
        <w:rPr>
          <w:rFonts w:cstheme="minorHAnsi"/>
          <w:sz w:val="24"/>
          <w:szCs w:val="24"/>
        </w:rPr>
      </w:pPr>
      <w:r w:rsidRPr="00B20382">
        <w:rPr>
          <w:rFonts w:eastAsia="Times New Roman" w:cstheme="minorHAnsi"/>
          <w:color w:val="333333"/>
          <w:sz w:val="24"/>
          <w:szCs w:val="24"/>
        </w:rPr>
        <w:t xml:space="preserve">Press Information Bureau, </w:t>
      </w:r>
      <w:r w:rsidR="00B515A8">
        <w:rPr>
          <w:rFonts w:eastAsia="Times New Roman" w:cstheme="minorHAnsi"/>
          <w:color w:val="333333"/>
          <w:sz w:val="24"/>
          <w:szCs w:val="24"/>
        </w:rPr>
        <w:t>6</w:t>
      </w:r>
      <w:r w:rsidR="004307FE">
        <w:rPr>
          <w:rFonts w:eastAsia="Times New Roman" w:cstheme="minorHAnsi"/>
          <w:color w:val="333333"/>
          <w:sz w:val="24"/>
          <w:szCs w:val="24"/>
        </w:rPr>
        <w:t xml:space="preserve"> </w:t>
      </w:r>
      <w:r w:rsidR="00F57D1F" w:rsidRPr="00D30959">
        <w:rPr>
          <w:rFonts w:eastAsia="Times New Roman" w:cstheme="minorHAnsi"/>
          <w:color w:val="333333"/>
          <w:sz w:val="24"/>
          <w:szCs w:val="24"/>
        </w:rPr>
        <w:t xml:space="preserve"> </w:t>
      </w:r>
      <w:r w:rsidR="001D6D00">
        <w:rPr>
          <w:rFonts w:eastAsia="Times New Roman" w:cstheme="minorHAnsi"/>
          <w:color w:val="333333"/>
          <w:sz w:val="24"/>
          <w:szCs w:val="24"/>
        </w:rPr>
        <w:t>September</w:t>
      </w:r>
      <w:r w:rsidR="00D21CFC" w:rsidRPr="00D30959">
        <w:rPr>
          <w:rFonts w:eastAsia="Times New Roman" w:cstheme="minorHAnsi"/>
          <w:color w:val="333333"/>
          <w:sz w:val="24"/>
          <w:szCs w:val="24"/>
        </w:rPr>
        <w:t>,</w:t>
      </w:r>
      <w:r w:rsidRPr="00D30959">
        <w:rPr>
          <w:rFonts w:eastAsia="Times New Roman" w:cstheme="minorHAnsi"/>
          <w:color w:val="333333"/>
          <w:sz w:val="24"/>
          <w:szCs w:val="24"/>
        </w:rPr>
        <w:t xml:space="preserve"> 2020</w:t>
      </w:r>
      <w:r w:rsidR="005D10A3" w:rsidRPr="00D30959">
        <w:rPr>
          <w:rFonts w:eastAsia="Times New Roman" w:cstheme="minorHAnsi"/>
          <w:color w:val="333333"/>
          <w:sz w:val="24"/>
          <w:szCs w:val="24"/>
        </w:rPr>
        <w:t xml:space="preserve"> </w:t>
      </w:r>
    </w:p>
    <w:sectPr w:rsidR="001B350F" w:rsidRPr="00D30959" w:rsidSect="005643FC">
      <w:pgSz w:w="12240" w:h="15840"/>
      <w:pgMar w:top="1134" w:right="1325" w:bottom="1843"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F389A"/>
    <w:multiLevelType w:val="multilevel"/>
    <w:tmpl w:val="717C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10217F"/>
    <w:multiLevelType w:val="multilevel"/>
    <w:tmpl w:val="611011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661456"/>
    <w:multiLevelType w:val="multilevel"/>
    <w:tmpl w:val="C59470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943926"/>
    <w:multiLevelType w:val="multilevel"/>
    <w:tmpl w:val="4CF4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EC572C"/>
    <w:multiLevelType w:val="multilevel"/>
    <w:tmpl w:val="0516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0358D7"/>
    <w:multiLevelType w:val="multilevel"/>
    <w:tmpl w:val="177A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354036"/>
    <w:multiLevelType w:val="multilevel"/>
    <w:tmpl w:val="4EA6A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6342B1"/>
    <w:multiLevelType w:val="multilevel"/>
    <w:tmpl w:val="937434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A74DE6"/>
    <w:multiLevelType w:val="multilevel"/>
    <w:tmpl w:val="A20C2220"/>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275E2E"/>
    <w:multiLevelType w:val="multilevel"/>
    <w:tmpl w:val="BD1A1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6BC117C"/>
    <w:multiLevelType w:val="multilevel"/>
    <w:tmpl w:val="1772D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8ED13D9"/>
    <w:multiLevelType w:val="multilevel"/>
    <w:tmpl w:val="5AB2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8C536A"/>
    <w:multiLevelType w:val="multilevel"/>
    <w:tmpl w:val="A58EC4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55A2C2D"/>
    <w:multiLevelType w:val="hybridMultilevel"/>
    <w:tmpl w:val="CF347D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F451813"/>
    <w:multiLevelType w:val="multilevel"/>
    <w:tmpl w:val="87C87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36C6866"/>
    <w:multiLevelType w:val="multilevel"/>
    <w:tmpl w:val="B36E1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78829CC"/>
    <w:multiLevelType w:val="multilevel"/>
    <w:tmpl w:val="685CF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4"/>
  </w:num>
  <w:num w:numId="3">
    <w:abstractNumId w:val="11"/>
  </w:num>
  <w:num w:numId="4">
    <w:abstractNumId w:val="0"/>
  </w:num>
  <w:num w:numId="5">
    <w:abstractNumId w:val="3"/>
  </w:num>
  <w:num w:numId="6">
    <w:abstractNumId w:val="15"/>
  </w:num>
  <w:num w:numId="7">
    <w:abstractNumId w:val="8"/>
  </w:num>
  <w:num w:numId="8">
    <w:abstractNumId w:val="13"/>
  </w:num>
  <w:num w:numId="9">
    <w:abstractNumId w:val="16"/>
  </w:num>
  <w:num w:numId="10">
    <w:abstractNumId w:val="7"/>
  </w:num>
  <w:num w:numId="11">
    <w:abstractNumId w:val="12"/>
  </w:num>
  <w:num w:numId="12">
    <w:abstractNumId w:val="5"/>
  </w:num>
  <w:num w:numId="13">
    <w:abstractNumId w:val="1"/>
  </w:num>
  <w:num w:numId="14">
    <w:abstractNumId w:val="2"/>
  </w:num>
  <w:num w:numId="15">
    <w:abstractNumId w:val="6"/>
  </w:num>
  <w:num w:numId="16">
    <w:abstractNumId w:val="14"/>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B350F"/>
    <w:rsid w:val="00002F2E"/>
    <w:rsid w:val="00017052"/>
    <w:rsid w:val="00021429"/>
    <w:rsid w:val="00056786"/>
    <w:rsid w:val="00064D8F"/>
    <w:rsid w:val="000659B7"/>
    <w:rsid w:val="00084A12"/>
    <w:rsid w:val="00090364"/>
    <w:rsid w:val="00094790"/>
    <w:rsid w:val="000A1C61"/>
    <w:rsid w:val="000F7F31"/>
    <w:rsid w:val="001168B2"/>
    <w:rsid w:val="00120818"/>
    <w:rsid w:val="00135790"/>
    <w:rsid w:val="00155F32"/>
    <w:rsid w:val="001569D4"/>
    <w:rsid w:val="001A7959"/>
    <w:rsid w:val="001B350F"/>
    <w:rsid w:val="001C1CB2"/>
    <w:rsid w:val="001D3ECE"/>
    <w:rsid w:val="001D6D00"/>
    <w:rsid w:val="001F6F5A"/>
    <w:rsid w:val="00214619"/>
    <w:rsid w:val="00214D62"/>
    <w:rsid w:val="002272FF"/>
    <w:rsid w:val="002277D5"/>
    <w:rsid w:val="002408BE"/>
    <w:rsid w:val="00240CD4"/>
    <w:rsid w:val="00244281"/>
    <w:rsid w:val="0025181C"/>
    <w:rsid w:val="00251A24"/>
    <w:rsid w:val="0026477B"/>
    <w:rsid w:val="00267A1E"/>
    <w:rsid w:val="002829B4"/>
    <w:rsid w:val="002850A0"/>
    <w:rsid w:val="002911FF"/>
    <w:rsid w:val="002A2541"/>
    <w:rsid w:val="002C6C8E"/>
    <w:rsid w:val="002D2F21"/>
    <w:rsid w:val="002D34ED"/>
    <w:rsid w:val="002E7CFC"/>
    <w:rsid w:val="002F4BE6"/>
    <w:rsid w:val="002F552F"/>
    <w:rsid w:val="00323A4C"/>
    <w:rsid w:val="00337FC4"/>
    <w:rsid w:val="00344C1F"/>
    <w:rsid w:val="00347352"/>
    <w:rsid w:val="00363210"/>
    <w:rsid w:val="00364F23"/>
    <w:rsid w:val="0037362E"/>
    <w:rsid w:val="00374A12"/>
    <w:rsid w:val="0038574B"/>
    <w:rsid w:val="003965F6"/>
    <w:rsid w:val="003B4181"/>
    <w:rsid w:val="003B45C8"/>
    <w:rsid w:val="003B7BA5"/>
    <w:rsid w:val="003D1540"/>
    <w:rsid w:val="003F2956"/>
    <w:rsid w:val="004307FE"/>
    <w:rsid w:val="00431266"/>
    <w:rsid w:val="00441011"/>
    <w:rsid w:val="004652A7"/>
    <w:rsid w:val="00492977"/>
    <w:rsid w:val="004B63B0"/>
    <w:rsid w:val="004E025D"/>
    <w:rsid w:val="004E2C16"/>
    <w:rsid w:val="004F736D"/>
    <w:rsid w:val="00522516"/>
    <w:rsid w:val="005317C7"/>
    <w:rsid w:val="005478E1"/>
    <w:rsid w:val="005634F6"/>
    <w:rsid w:val="005643FC"/>
    <w:rsid w:val="00572059"/>
    <w:rsid w:val="0058000C"/>
    <w:rsid w:val="005C3663"/>
    <w:rsid w:val="005C4078"/>
    <w:rsid w:val="005C5902"/>
    <w:rsid w:val="005D10A3"/>
    <w:rsid w:val="005E5425"/>
    <w:rsid w:val="0060196F"/>
    <w:rsid w:val="00606F12"/>
    <w:rsid w:val="00606F9A"/>
    <w:rsid w:val="006108B6"/>
    <w:rsid w:val="00625B7A"/>
    <w:rsid w:val="006360E7"/>
    <w:rsid w:val="00637CF5"/>
    <w:rsid w:val="00641BB4"/>
    <w:rsid w:val="006534E1"/>
    <w:rsid w:val="006607AF"/>
    <w:rsid w:val="00681FF5"/>
    <w:rsid w:val="006916E6"/>
    <w:rsid w:val="006A7A65"/>
    <w:rsid w:val="006D547F"/>
    <w:rsid w:val="006E2D4C"/>
    <w:rsid w:val="00704FE6"/>
    <w:rsid w:val="00706AB8"/>
    <w:rsid w:val="0072224E"/>
    <w:rsid w:val="00736242"/>
    <w:rsid w:val="007749FD"/>
    <w:rsid w:val="007C52B8"/>
    <w:rsid w:val="007E5BBA"/>
    <w:rsid w:val="007F2A4F"/>
    <w:rsid w:val="008169D8"/>
    <w:rsid w:val="008368C6"/>
    <w:rsid w:val="00860012"/>
    <w:rsid w:val="008B4B11"/>
    <w:rsid w:val="008C6742"/>
    <w:rsid w:val="008C685B"/>
    <w:rsid w:val="008D1AFE"/>
    <w:rsid w:val="008D2188"/>
    <w:rsid w:val="00903E51"/>
    <w:rsid w:val="00924006"/>
    <w:rsid w:val="00936EAF"/>
    <w:rsid w:val="00947B38"/>
    <w:rsid w:val="009501B3"/>
    <w:rsid w:val="009671C0"/>
    <w:rsid w:val="00980D64"/>
    <w:rsid w:val="00983770"/>
    <w:rsid w:val="00986EEA"/>
    <w:rsid w:val="00993431"/>
    <w:rsid w:val="009A248F"/>
    <w:rsid w:val="009B19B9"/>
    <w:rsid w:val="009C1711"/>
    <w:rsid w:val="009C497B"/>
    <w:rsid w:val="009E15C9"/>
    <w:rsid w:val="009F1BD0"/>
    <w:rsid w:val="00A02185"/>
    <w:rsid w:val="00A134CD"/>
    <w:rsid w:val="00A14FCC"/>
    <w:rsid w:val="00A4738B"/>
    <w:rsid w:val="00A54D86"/>
    <w:rsid w:val="00A619F0"/>
    <w:rsid w:val="00A6319E"/>
    <w:rsid w:val="00A73F44"/>
    <w:rsid w:val="00A84494"/>
    <w:rsid w:val="00A95895"/>
    <w:rsid w:val="00A9689F"/>
    <w:rsid w:val="00AC165C"/>
    <w:rsid w:val="00AC58FE"/>
    <w:rsid w:val="00AD5C54"/>
    <w:rsid w:val="00AE17A3"/>
    <w:rsid w:val="00AE364A"/>
    <w:rsid w:val="00AF0CCA"/>
    <w:rsid w:val="00AF21E7"/>
    <w:rsid w:val="00B026D8"/>
    <w:rsid w:val="00B07804"/>
    <w:rsid w:val="00B16A61"/>
    <w:rsid w:val="00B20382"/>
    <w:rsid w:val="00B33669"/>
    <w:rsid w:val="00B45C1A"/>
    <w:rsid w:val="00B515A8"/>
    <w:rsid w:val="00B62121"/>
    <w:rsid w:val="00B634D4"/>
    <w:rsid w:val="00B73E1F"/>
    <w:rsid w:val="00B75556"/>
    <w:rsid w:val="00B86592"/>
    <w:rsid w:val="00B900CB"/>
    <w:rsid w:val="00BA3F4D"/>
    <w:rsid w:val="00BC6680"/>
    <w:rsid w:val="00BE65CB"/>
    <w:rsid w:val="00BF3A60"/>
    <w:rsid w:val="00BF6C1E"/>
    <w:rsid w:val="00C0194C"/>
    <w:rsid w:val="00C266C7"/>
    <w:rsid w:val="00C30192"/>
    <w:rsid w:val="00C50CD3"/>
    <w:rsid w:val="00C54B60"/>
    <w:rsid w:val="00C63EB1"/>
    <w:rsid w:val="00C80283"/>
    <w:rsid w:val="00C813F1"/>
    <w:rsid w:val="00CA12F6"/>
    <w:rsid w:val="00CA7002"/>
    <w:rsid w:val="00CB7146"/>
    <w:rsid w:val="00CD2D1A"/>
    <w:rsid w:val="00CD55FA"/>
    <w:rsid w:val="00CF1BFF"/>
    <w:rsid w:val="00CF5CBC"/>
    <w:rsid w:val="00CF7D68"/>
    <w:rsid w:val="00D21CFC"/>
    <w:rsid w:val="00D30959"/>
    <w:rsid w:val="00D41FE2"/>
    <w:rsid w:val="00D5283E"/>
    <w:rsid w:val="00DA3985"/>
    <w:rsid w:val="00DF0925"/>
    <w:rsid w:val="00DF5BC2"/>
    <w:rsid w:val="00E07E33"/>
    <w:rsid w:val="00E23283"/>
    <w:rsid w:val="00E26AF3"/>
    <w:rsid w:val="00E43BBA"/>
    <w:rsid w:val="00E4782E"/>
    <w:rsid w:val="00E5072B"/>
    <w:rsid w:val="00E605BD"/>
    <w:rsid w:val="00E612C0"/>
    <w:rsid w:val="00E70605"/>
    <w:rsid w:val="00E75876"/>
    <w:rsid w:val="00EA2E9A"/>
    <w:rsid w:val="00EB238D"/>
    <w:rsid w:val="00EC541F"/>
    <w:rsid w:val="00ED6247"/>
    <w:rsid w:val="00EF50D5"/>
    <w:rsid w:val="00EF5A26"/>
    <w:rsid w:val="00F0786B"/>
    <w:rsid w:val="00F216CB"/>
    <w:rsid w:val="00F21C88"/>
    <w:rsid w:val="00F27A47"/>
    <w:rsid w:val="00F3286E"/>
    <w:rsid w:val="00F40284"/>
    <w:rsid w:val="00F47274"/>
    <w:rsid w:val="00F57D1F"/>
    <w:rsid w:val="00F6012C"/>
    <w:rsid w:val="00F641B6"/>
    <w:rsid w:val="00F85BB6"/>
    <w:rsid w:val="00F90CCB"/>
    <w:rsid w:val="00F92400"/>
    <w:rsid w:val="00F9321B"/>
    <w:rsid w:val="00FA2552"/>
    <w:rsid w:val="00FA692D"/>
    <w:rsid w:val="00FB65A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tgraju@jncasr.ac.in" TargetMode="Externa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A246E-ED77-452D-A080-F1B705072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3</cp:revision>
  <dcterms:created xsi:type="dcterms:W3CDTF">2020-09-10T09:28:00Z</dcterms:created>
  <dcterms:modified xsi:type="dcterms:W3CDTF">2020-09-10T09:29:00Z</dcterms:modified>
</cp:coreProperties>
</file>