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134" w:rsidRPr="002F7134" w:rsidRDefault="00621DD5" w:rsidP="002F7134">
      <w:pPr>
        <w:pStyle w:val="Heading2"/>
        <w:shd w:val="clear" w:color="auto" w:fill="FFFFFF"/>
        <w:spacing w:before="240" w:beforeAutospacing="0" w:after="120" w:afterAutospacing="0"/>
        <w:rPr>
          <w:rFonts w:ascii="Calibri" w:hAnsi="Calibri" w:cs="Calibri"/>
          <w:color w:val="365F91" w:themeColor="accent1" w:themeShade="BF"/>
          <w:sz w:val="24"/>
          <w:szCs w:val="24"/>
        </w:rPr>
      </w:pPr>
      <w:r w:rsidRPr="00621DD5">
        <w:rPr>
          <w:rFonts w:ascii="Calibri" w:hAnsi="Calibri" w:cs="Calibri"/>
          <w:b w:val="0"/>
          <w:color w:val="333333"/>
          <w:sz w:val="24"/>
          <w:szCs w:val="24"/>
        </w:rPr>
        <w:br/>
      </w:r>
      <w:r w:rsidR="002F7134" w:rsidRPr="002F7134">
        <w:rPr>
          <w:rFonts w:ascii="Calibri" w:hAnsi="Calibri" w:cs="Calibri"/>
          <w:color w:val="365F91" w:themeColor="accent1" w:themeShade="BF"/>
          <w:sz w:val="24"/>
          <w:szCs w:val="24"/>
        </w:rPr>
        <w:t>Study shows significant reduction of heavy metal pollution during COVID-19 pandemicin the Ganga water</w:t>
      </w:r>
      <w:r w:rsidR="002F7134" w:rsidRPr="002F7134">
        <w:rPr>
          <w:rFonts w:ascii="Calibri" w:hAnsi="Calibri" w:cs="Calibri"/>
          <w:color w:val="365F91" w:themeColor="accent1" w:themeShade="BF"/>
          <w:sz w:val="24"/>
          <w:szCs w:val="24"/>
        </w:rPr>
        <w:br/>
      </w:r>
    </w:p>
    <w:p w:rsidR="002F7134" w:rsidRDefault="002F7134" w:rsidP="002F7134">
      <w:pPr>
        <w:shd w:val="clear" w:color="auto" w:fill="FFFFFF"/>
        <w:spacing w:after="120" w:line="240" w:lineRule="auto"/>
        <w:jc w:val="both"/>
        <w:rPr>
          <w:rFonts w:ascii="Calibri" w:eastAsia="Times New Roman" w:hAnsi="Calibri" w:cs="Calibri"/>
          <w:color w:val="333333"/>
          <w:sz w:val="24"/>
          <w:szCs w:val="24"/>
        </w:rPr>
      </w:pPr>
      <w:r w:rsidRPr="002F7134">
        <w:rPr>
          <w:rFonts w:ascii="Calibri" w:eastAsia="Times New Roman" w:hAnsi="Calibri" w:cs="Calibri"/>
          <w:color w:val="333333"/>
          <w:sz w:val="24"/>
          <w:szCs w:val="24"/>
        </w:rPr>
        <w:t>Efforts to minimize industrial wastewater can substantially reduce heavy metal pollution </w:t>
      </w:r>
      <w:bookmarkStart w:id="0" w:name="_Hlk63583120"/>
      <w:r w:rsidRPr="002F7134">
        <w:rPr>
          <w:rFonts w:ascii="Calibri" w:eastAsia="Times New Roman" w:hAnsi="Calibri" w:cs="Calibri"/>
          <w:color w:val="055193"/>
          <w:sz w:val="24"/>
          <w:szCs w:val="24"/>
        </w:rPr>
        <w:t>in the Ganga water </w:t>
      </w:r>
      <w:bookmarkEnd w:id="0"/>
      <w:r w:rsidRPr="002F7134">
        <w:rPr>
          <w:rFonts w:ascii="Calibri" w:eastAsia="Times New Roman" w:hAnsi="Calibri" w:cs="Calibri"/>
          <w:color w:val="333333"/>
          <w:sz w:val="24"/>
          <w:szCs w:val="24"/>
        </w:rPr>
        <w:t>in a short time span of a few months, a study carried out during the COVID-19 pandemic has shown.</w:t>
      </w:r>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p>
    <w:p w:rsidR="002F7134" w:rsidRDefault="002F7134" w:rsidP="002F7134">
      <w:pPr>
        <w:shd w:val="clear" w:color="auto" w:fill="FFFFFF"/>
        <w:spacing w:after="120" w:line="240" w:lineRule="auto"/>
        <w:jc w:val="both"/>
        <w:rPr>
          <w:rFonts w:ascii="Calibri" w:eastAsia="Times New Roman" w:hAnsi="Calibri" w:cs="Calibri"/>
          <w:color w:val="333333"/>
          <w:sz w:val="24"/>
          <w:szCs w:val="24"/>
        </w:rPr>
      </w:pPr>
      <w:r w:rsidRPr="002F7134">
        <w:rPr>
          <w:rFonts w:ascii="Calibri" w:eastAsia="Times New Roman" w:hAnsi="Calibri" w:cs="Calibri"/>
          <w:color w:val="333333"/>
          <w:sz w:val="24"/>
          <w:szCs w:val="24"/>
        </w:rPr>
        <w:t>The COVID-19 pandemic lockdown provided a team of scientists </w:t>
      </w:r>
      <w:r w:rsidRPr="002F7134">
        <w:rPr>
          <w:rFonts w:ascii="Calibri" w:eastAsia="Times New Roman" w:hAnsi="Calibri" w:cs="Calibri"/>
          <w:b/>
          <w:bCs/>
          <w:color w:val="333333"/>
          <w:sz w:val="24"/>
          <w:szCs w:val="24"/>
        </w:rPr>
        <w:t>from Indian Institute of Technology Kanpur</w:t>
      </w:r>
      <w:r w:rsidRPr="002F7134">
        <w:rPr>
          <w:rFonts w:ascii="Calibri" w:eastAsia="Times New Roman" w:hAnsi="Calibri" w:cs="Calibri"/>
          <w:color w:val="333333"/>
          <w:sz w:val="24"/>
          <w:szCs w:val="24"/>
        </w:rPr>
        <w:t> a rare opportunity to quantify the impact of restricted anthropogenic activities on the water chemistry resilience of large rivers.</w:t>
      </w:r>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p>
    <w:p w:rsidR="002F7134" w:rsidRDefault="002F7134" w:rsidP="002F7134">
      <w:pPr>
        <w:shd w:val="clear" w:color="auto" w:fill="FFFFFF"/>
        <w:spacing w:after="120" w:line="240" w:lineRule="auto"/>
        <w:jc w:val="both"/>
        <w:rPr>
          <w:rFonts w:ascii="Calibri" w:eastAsia="Times New Roman" w:hAnsi="Calibri" w:cs="Calibri"/>
          <w:color w:val="333333"/>
          <w:sz w:val="24"/>
          <w:szCs w:val="24"/>
        </w:rPr>
      </w:pPr>
      <w:r w:rsidRPr="002F7134">
        <w:rPr>
          <w:rFonts w:ascii="Calibri" w:eastAsia="Times New Roman" w:hAnsi="Calibri" w:cs="Calibri"/>
          <w:color w:val="333333"/>
          <w:sz w:val="24"/>
          <w:szCs w:val="24"/>
        </w:rPr>
        <w:t>They analyzed the daily geochemical record of the Ganga River and showed that reduced industrial discharge during 51 days of mandated nationwide lockdown decreased the dissolved heavy metal concentrations by a minimum of 50%. In contrast, inputs from agricultural runoff and domestic sewage like nitrate and phosphate remained almost the same as these sources were not impacted by the nationwide confinement.</w:t>
      </w:r>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p>
    <w:p w:rsidR="002F7134" w:rsidRDefault="002F7134" w:rsidP="002F7134">
      <w:pPr>
        <w:shd w:val="clear" w:color="auto" w:fill="FFFFFF"/>
        <w:spacing w:after="120" w:line="240" w:lineRule="auto"/>
        <w:jc w:val="both"/>
        <w:rPr>
          <w:rFonts w:ascii="Calibri" w:eastAsia="Times New Roman" w:hAnsi="Calibri" w:cs="Calibri"/>
          <w:color w:val="333333"/>
          <w:sz w:val="24"/>
          <w:szCs w:val="24"/>
          <w:shd w:val="clear" w:color="auto" w:fill="FFFFFF"/>
        </w:rPr>
      </w:pPr>
      <w:r w:rsidRPr="002F7134">
        <w:rPr>
          <w:rFonts w:ascii="Calibri" w:eastAsia="Times New Roman" w:hAnsi="Calibri" w:cs="Calibri"/>
          <w:color w:val="333333"/>
          <w:sz w:val="24"/>
          <w:szCs w:val="24"/>
          <w:shd w:val="clear" w:color="auto" w:fill="FFFFFF"/>
        </w:rPr>
        <w:t>The research is supported by the </w:t>
      </w:r>
      <w:r w:rsidRPr="002F7134">
        <w:rPr>
          <w:rFonts w:ascii="Calibri" w:eastAsia="Times New Roman" w:hAnsi="Calibri" w:cs="Calibri"/>
          <w:b/>
          <w:bCs/>
          <w:color w:val="333333"/>
          <w:sz w:val="24"/>
          <w:szCs w:val="24"/>
        </w:rPr>
        <w:t>Indo-U.S. Science and Technology Forum (IUSSTF)</w:t>
      </w:r>
      <w:r w:rsidRPr="002F7134">
        <w:rPr>
          <w:rFonts w:ascii="Calibri" w:eastAsia="Times New Roman" w:hAnsi="Calibri" w:cs="Calibri"/>
          <w:color w:val="333333"/>
          <w:sz w:val="24"/>
          <w:szCs w:val="24"/>
          <w:shd w:val="clear" w:color="auto" w:fill="FFFFFF"/>
        </w:rPr>
        <w:t>, a bilateral organization under the Department of Science and Technology (DST), Government of India and U.S. Department of States, and recently published by ‘</w:t>
      </w:r>
      <w:r w:rsidRPr="002F7134">
        <w:rPr>
          <w:rFonts w:ascii="Calibri" w:eastAsia="Times New Roman" w:hAnsi="Calibri" w:cs="Calibri"/>
          <w:i/>
          <w:iCs/>
          <w:color w:val="333333"/>
          <w:sz w:val="24"/>
          <w:szCs w:val="24"/>
        </w:rPr>
        <w:t>Environmental Science and Technology Letters’</w:t>
      </w:r>
      <w:r w:rsidRPr="002F7134">
        <w:rPr>
          <w:rFonts w:ascii="Calibri" w:eastAsia="Times New Roman" w:hAnsi="Calibri" w:cs="Calibri"/>
          <w:color w:val="333333"/>
          <w:sz w:val="24"/>
          <w:szCs w:val="24"/>
          <w:shd w:val="clear" w:color="auto" w:fill="FFFFFF"/>
        </w:rPr>
        <w:t>, showed the high resilience of dissolved heavy metals. </w:t>
      </w:r>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p>
    <w:p w:rsidR="002F7134" w:rsidRDefault="002F7134" w:rsidP="002F7134">
      <w:pPr>
        <w:shd w:val="clear" w:color="auto" w:fill="FFFFFF"/>
        <w:spacing w:after="120" w:line="240" w:lineRule="auto"/>
        <w:jc w:val="both"/>
        <w:rPr>
          <w:rFonts w:ascii="Calibri" w:eastAsia="Times New Roman" w:hAnsi="Calibri" w:cs="Calibri"/>
          <w:color w:val="333333"/>
          <w:sz w:val="24"/>
          <w:szCs w:val="24"/>
          <w:shd w:val="clear" w:color="auto" w:fill="FFFFFF"/>
        </w:rPr>
      </w:pPr>
      <w:r w:rsidRPr="002F7134">
        <w:rPr>
          <w:rFonts w:ascii="Calibri" w:eastAsia="Times New Roman" w:hAnsi="Calibri" w:cs="Calibri"/>
          <w:color w:val="333333"/>
          <w:sz w:val="24"/>
          <w:szCs w:val="24"/>
          <w:shd w:val="clear" w:color="auto" w:fill="FFFFFF"/>
        </w:rPr>
        <w:t>The study, which adds to the body of research world’s large rivers have been intensely studied to better understand the impact of climate change and direct human interventions on river water quality and quantity has found pace in the cover page of the journal.</w:t>
      </w:r>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r w:rsidRPr="002F7134">
        <w:rPr>
          <w:rFonts w:ascii="Calibri" w:eastAsia="Times New Roman" w:hAnsi="Calibri" w:cs="Calibri"/>
          <w:noProof/>
          <w:color w:val="333333"/>
          <w:sz w:val="24"/>
          <w:szCs w:val="24"/>
        </w:rPr>
        <w:drawing>
          <wp:inline distT="0" distB="0" distL="0" distR="0">
            <wp:extent cx="2583180" cy="1935480"/>
            <wp:effectExtent l="19050" t="0" r="7620" b="0"/>
            <wp:docPr id="9" name="Picture 9" descr="Description: C:\Users\Admin\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Admin\Downloads\unnamed.jpg"/>
                    <pic:cNvPicPr>
                      <a:picLocks noChangeAspect="1" noChangeArrowheads="1"/>
                    </pic:cNvPicPr>
                  </pic:nvPicPr>
                  <pic:blipFill>
                    <a:blip r:embed="rId8"/>
                    <a:srcRect/>
                    <a:stretch>
                      <a:fillRect/>
                    </a:stretch>
                  </pic:blipFill>
                  <pic:spPr bwMode="auto">
                    <a:xfrm>
                      <a:off x="0" y="0"/>
                      <a:ext cx="2583180" cy="1935480"/>
                    </a:xfrm>
                    <a:prstGeom prst="rect">
                      <a:avLst/>
                    </a:prstGeom>
                    <a:noFill/>
                    <a:ln w="9525">
                      <a:noFill/>
                      <a:miter lim="800000"/>
                      <a:headEnd/>
                      <a:tailEnd/>
                    </a:ln>
                  </pic:spPr>
                </pic:pic>
              </a:graphicData>
            </a:graphic>
          </wp:inline>
        </w:drawing>
      </w:r>
      <w:r w:rsidRPr="002F7134">
        <w:rPr>
          <w:rFonts w:ascii="Calibri" w:eastAsia="Times New Roman" w:hAnsi="Calibri" w:cs="Calibri"/>
          <w:noProof/>
          <w:color w:val="333333"/>
          <w:sz w:val="24"/>
          <w:szCs w:val="24"/>
        </w:rPr>
        <w:drawing>
          <wp:inline distT="0" distB="0" distL="0" distR="0">
            <wp:extent cx="2560320" cy="1920240"/>
            <wp:effectExtent l="19050" t="0" r="0" b="0"/>
            <wp:docPr id="10" name="Picture 10" descr="Description: C:\Users\Admin\Downloads\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Admin\Downloads\unnamed (1).jpg"/>
                    <pic:cNvPicPr>
                      <a:picLocks noChangeAspect="1" noChangeArrowheads="1"/>
                    </pic:cNvPicPr>
                  </pic:nvPicPr>
                  <pic:blipFill>
                    <a:blip r:embed="rId9"/>
                    <a:srcRect/>
                    <a:stretch>
                      <a:fillRect/>
                    </a:stretch>
                  </pic:blipFill>
                  <pic:spPr bwMode="auto">
                    <a:xfrm>
                      <a:off x="0" y="0"/>
                      <a:ext cx="2560320" cy="1920240"/>
                    </a:xfrm>
                    <a:prstGeom prst="rect">
                      <a:avLst/>
                    </a:prstGeom>
                    <a:noFill/>
                    <a:ln w="9525">
                      <a:noFill/>
                      <a:miter lim="800000"/>
                      <a:headEnd/>
                      <a:tailEnd/>
                    </a:ln>
                  </pic:spPr>
                </pic:pic>
              </a:graphicData>
            </a:graphic>
          </wp:inline>
        </w:drawing>
      </w:r>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r w:rsidRPr="002F7134">
        <w:rPr>
          <w:rFonts w:ascii="Calibri" w:eastAsia="Times New Roman" w:hAnsi="Calibri" w:cs="Calibri"/>
          <w:noProof/>
          <w:color w:val="333333"/>
          <w:sz w:val="24"/>
          <w:szCs w:val="24"/>
        </w:rPr>
        <w:lastRenderedPageBreak/>
        <w:drawing>
          <wp:inline distT="0" distB="0" distL="0" distR="0">
            <wp:extent cx="2316480" cy="1744980"/>
            <wp:effectExtent l="19050" t="0" r="7620" b="0"/>
            <wp:docPr id="11" name="Picture 11" descr="Description: C:\Users\Admin\Downloads\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Admin\Downloads\unnamed (2).jpg"/>
                    <pic:cNvPicPr>
                      <a:picLocks noChangeAspect="1" noChangeArrowheads="1"/>
                    </pic:cNvPicPr>
                  </pic:nvPicPr>
                  <pic:blipFill>
                    <a:blip r:embed="rId10"/>
                    <a:srcRect/>
                    <a:stretch>
                      <a:fillRect/>
                    </a:stretch>
                  </pic:blipFill>
                  <pic:spPr bwMode="auto">
                    <a:xfrm>
                      <a:off x="0" y="0"/>
                      <a:ext cx="2316480" cy="1744980"/>
                    </a:xfrm>
                    <a:prstGeom prst="rect">
                      <a:avLst/>
                    </a:prstGeom>
                    <a:noFill/>
                    <a:ln w="9525">
                      <a:noFill/>
                      <a:miter lim="800000"/>
                      <a:headEnd/>
                      <a:tailEnd/>
                    </a:ln>
                  </pic:spPr>
                </pic:pic>
              </a:graphicData>
            </a:graphic>
          </wp:inline>
        </w:drawing>
      </w:r>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r w:rsidRPr="002F7134">
        <w:rPr>
          <w:rFonts w:ascii="Calibri" w:eastAsia="Times New Roman" w:hAnsi="Calibri" w:cs="Calibri"/>
          <w:i/>
          <w:iCs/>
          <w:color w:val="333333"/>
          <w:sz w:val="24"/>
          <w:szCs w:val="24"/>
        </w:rPr>
        <w:t>Figure: Photographs shot at downstream locations in the plains during the research work</w:t>
      </w:r>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r w:rsidRPr="002F7134">
        <w:rPr>
          <w:rFonts w:ascii="Calibri" w:eastAsia="Times New Roman" w:hAnsi="Calibri" w:cs="Calibri"/>
          <w:b/>
          <w:bCs/>
          <w:color w:val="333333"/>
          <w:sz w:val="24"/>
          <w:szCs w:val="24"/>
        </w:rPr>
        <w:t>[Publication link: </w:t>
      </w:r>
      <w:hyperlink r:id="rId11" w:tgtFrame="_blank" w:history="1">
        <w:r w:rsidRPr="002F7134">
          <w:rPr>
            <w:rFonts w:ascii="Calibri" w:eastAsia="Times New Roman" w:hAnsi="Calibri" w:cs="Calibri"/>
            <w:b/>
            <w:bCs/>
            <w:color w:val="1155CC"/>
            <w:sz w:val="24"/>
            <w:szCs w:val="24"/>
          </w:rPr>
          <w:t>https://pubs.acs.org/doi/full/10.1021/acs.estlett.0c00982</w:t>
        </w:r>
      </w:hyperlink>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r w:rsidRPr="002F7134">
        <w:rPr>
          <w:rFonts w:ascii="Calibri" w:eastAsia="Times New Roman" w:hAnsi="Calibri" w:cs="Calibri"/>
          <w:color w:val="333333"/>
          <w:sz w:val="24"/>
          <w:szCs w:val="24"/>
        </w:rPr>
        <w:t> </w:t>
      </w:r>
    </w:p>
    <w:p w:rsidR="002F7134" w:rsidRPr="002F7134" w:rsidRDefault="002F7134" w:rsidP="002F7134">
      <w:pPr>
        <w:shd w:val="clear" w:color="auto" w:fill="FFFFFF"/>
        <w:spacing w:after="120" w:line="240" w:lineRule="auto"/>
        <w:jc w:val="both"/>
        <w:rPr>
          <w:rFonts w:ascii="Calibri" w:eastAsia="Times New Roman" w:hAnsi="Calibri" w:cs="Calibri"/>
          <w:color w:val="333333"/>
          <w:sz w:val="24"/>
          <w:szCs w:val="24"/>
        </w:rPr>
      </w:pPr>
      <w:r w:rsidRPr="002F7134">
        <w:rPr>
          <w:rFonts w:ascii="Calibri" w:eastAsia="Times New Roman" w:hAnsi="Calibri" w:cs="Calibri"/>
          <w:b/>
          <w:bCs/>
          <w:i/>
          <w:iCs/>
          <w:color w:val="333333"/>
          <w:sz w:val="24"/>
          <w:szCs w:val="24"/>
        </w:rPr>
        <w:t>For more details, Indra S. Sen (</w:t>
      </w:r>
      <w:hyperlink r:id="rId12" w:history="1">
        <w:r w:rsidRPr="002F7134">
          <w:rPr>
            <w:rFonts w:ascii="Calibri" w:eastAsia="Times New Roman" w:hAnsi="Calibri" w:cs="Calibri"/>
            <w:b/>
            <w:bCs/>
            <w:i/>
            <w:iCs/>
            <w:color w:val="055193"/>
            <w:sz w:val="24"/>
            <w:szCs w:val="24"/>
          </w:rPr>
          <w:t>isen@iitk.ac.in</w:t>
        </w:r>
      </w:hyperlink>
      <w:r w:rsidRPr="002F7134">
        <w:rPr>
          <w:rFonts w:ascii="Calibri" w:eastAsia="Times New Roman" w:hAnsi="Calibri" w:cs="Calibri"/>
          <w:b/>
          <w:bCs/>
          <w:i/>
          <w:iCs/>
          <w:color w:val="333333"/>
          <w:sz w:val="24"/>
          <w:szCs w:val="24"/>
        </w:rPr>
        <w:t>) can be contacted.]</w:t>
      </w:r>
    </w:p>
    <w:p w:rsidR="00FD655B" w:rsidRPr="002F7134" w:rsidRDefault="00FD655B" w:rsidP="00FD655B">
      <w:pPr>
        <w:shd w:val="clear" w:color="auto" w:fill="FFFFFF"/>
        <w:spacing w:after="120" w:line="240" w:lineRule="auto"/>
        <w:jc w:val="both"/>
        <w:rPr>
          <w:rFonts w:ascii="Calibri" w:hAnsi="Calibri" w:cs="Calibri"/>
          <w:b/>
          <w:color w:val="365F91" w:themeColor="accent1" w:themeShade="BF"/>
          <w:sz w:val="24"/>
          <w:szCs w:val="24"/>
        </w:rPr>
      </w:pPr>
    </w:p>
    <w:p w:rsidR="00234A4C" w:rsidRPr="002F7134" w:rsidRDefault="001B350F" w:rsidP="00ED76E8">
      <w:pPr>
        <w:shd w:val="clear" w:color="auto" w:fill="FFFFFF"/>
        <w:spacing w:after="120" w:line="240" w:lineRule="auto"/>
        <w:jc w:val="both"/>
        <w:rPr>
          <w:rFonts w:ascii="Calibri" w:hAnsi="Calibri" w:cs="Calibri"/>
          <w:b/>
          <w:color w:val="AB172A"/>
          <w:sz w:val="24"/>
          <w:szCs w:val="24"/>
        </w:rPr>
      </w:pPr>
      <w:r w:rsidRPr="002F7134">
        <w:rPr>
          <w:rFonts w:ascii="Calibri" w:hAnsi="Calibri" w:cs="Calibri"/>
          <w:color w:val="AB172A"/>
          <w:sz w:val="24"/>
          <w:szCs w:val="24"/>
        </w:rPr>
        <w:t>Source</w:t>
      </w:r>
    </w:p>
    <w:p w:rsidR="008154F7" w:rsidRPr="002F7134" w:rsidRDefault="001B350F" w:rsidP="00C13FAC">
      <w:pPr>
        <w:shd w:val="clear" w:color="auto" w:fill="FFFFFF"/>
        <w:spacing w:after="109" w:line="240" w:lineRule="auto"/>
        <w:rPr>
          <w:rFonts w:ascii="Calibri" w:hAnsi="Calibri" w:cs="Calibri"/>
          <w:sz w:val="24"/>
          <w:szCs w:val="24"/>
        </w:rPr>
      </w:pPr>
      <w:r w:rsidRPr="002F7134">
        <w:rPr>
          <w:rFonts w:ascii="Calibri" w:eastAsia="Times New Roman" w:hAnsi="Calibri" w:cs="Calibri"/>
          <w:color w:val="333333"/>
          <w:sz w:val="24"/>
          <w:szCs w:val="24"/>
        </w:rPr>
        <w:t xml:space="preserve">Press Information Bureau, </w:t>
      </w:r>
      <w:r w:rsidR="002C0C6F" w:rsidRPr="002F7134">
        <w:rPr>
          <w:rFonts w:ascii="Calibri" w:eastAsia="Times New Roman" w:hAnsi="Calibri" w:cs="Calibri"/>
          <w:color w:val="333333"/>
          <w:sz w:val="24"/>
          <w:szCs w:val="24"/>
        </w:rPr>
        <w:t>08</w:t>
      </w:r>
      <w:r w:rsidR="00EB24E9" w:rsidRPr="002F7134">
        <w:rPr>
          <w:rFonts w:ascii="Calibri" w:eastAsia="Times New Roman" w:hAnsi="Calibri" w:cs="Calibri"/>
          <w:color w:val="333333"/>
          <w:sz w:val="24"/>
          <w:szCs w:val="24"/>
        </w:rPr>
        <w:t xml:space="preserve"> </w:t>
      </w:r>
      <w:r w:rsidR="00872E87" w:rsidRPr="002F7134">
        <w:rPr>
          <w:rFonts w:ascii="Calibri" w:eastAsia="Times New Roman" w:hAnsi="Calibri" w:cs="Calibri"/>
          <w:color w:val="333333"/>
          <w:sz w:val="24"/>
          <w:szCs w:val="24"/>
        </w:rPr>
        <w:t>February</w:t>
      </w:r>
      <w:r w:rsidR="00D21CFC" w:rsidRPr="002F7134">
        <w:rPr>
          <w:rFonts w:ascii="Calibri" w:eastAsia="Times New Roman" w:hAnsi="Calibri" w:cs="Calibri"/>
          <w:color w:val="333333"/>
          <w:sz w:val="24"/>
          <w:szCs w:val="24"/>
        </w:rPr>
        <w:t>,</w:t>
      </w:r>
      <w:r w:rsidRPr="002F7134">
        <w:rPr>
          <w:rFonts w:ascii="Calibri" w:eastAsia="Times New Roman" w:hAnsi="Calibri" w:cs="Calibri"/>
          <w:color w:val="333333"/>
          <w:sz w:val="24"/>
          <w:szCs w:val="24"/>
        </w:rPr>
        <w:t xml:space="preserve"> 202</w:t>
      </w:r>
      <w:r w:rsidR="00257295" w:rsidRPr="002F7134">
        <w:rPr>
          <w:rFonts w:ascii="Calibri" w:eastAsia="Times New Roman" w:hAnsi="Calibri" w:cs="Calibri"/>
          <w:color w:val="333333"/>
          <w:sz w:val="24"/>
          <w:szCs w:val="24"/>
        </w:rPr>
        <w:t>1</w:t>
      </w:r>
    </w:p>
    <w:sectPr w:rsidR="008154F7" w:rsidRPr="002F7134" w:rsidSect="00FD655B">
      <w:pgSz w:w="12240" w:h="15840"/>
      <w:pgMar w:top="1701" w:right="1183" w:bottom="56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4FF" w:rsidRDefault="003604FF" w:rsidP="00B26FD0">
      <w:pPr>
        <w:spacing w:after="0" w:line="240" w:lineRule="auto"/>
      </w:pPr>
      <w:r>
        <w:separator/>
      </w:r>
    </w:p>
  </w:endnote>
  <w:endnote w:type="continuationSeparator" w:id="1">
    <w:p w:rsidR="003604FF" w:rsidRDefault="003604FF"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4FF" w:rsidRDefault="003604FF" w:rsidP="00B26FD0">
      <w:pPr>
        <w:spacing w:after="0" w:line="240" w:lineRule="auto"/>
      </w:pPr>
      <w:r>
        <w:separator/>
      </w:r>
    </w:p>
  </w:footnote>
  <w:footnote w:type="continuationSeparator" w:id="1">
    <w:p w:rsidR="003604FF" w:rsidRDefault="003604FF"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0"/>
  </w:num>
  <w:num w:numId="3">
    <w:abstractNumId w:val="2"/>
  </w:num>
  <w:num w:numId="4">
    <w:abstractNumId w:val="34"/>
  </w:num>
  <w:num w:numId="5">
    <w:abstractNumId w:val="32"/>
  </w:num>
  <w:num w:numId="6">
    <w:abstractNumId w:val="0"/>
  </w:num>
  <w:num w:numId="7">
    <w:abstractNumId w:val="26"/>
  </w:num>
  <w:num w:numId="8">
    <w:abstractNumId w:val="19"/>
  </w:num>
  <w:num w:numId="9">
    <w:abstractNumId w:val="4"/>
  </w:num>
  <w:num w:numId="10">
    <w:abstractNumId w:val="8"/>
  </w:num>
  <w:num w:numId="11">
    <w:abstractNumId w:val="35"/>
  </w:num>
  <w:num w:numId="12">
    <w:abstractNumId w:val="21"/>
  </w:num>
  <w:num w:numId="13">
    <w:abstractNumId w:val="9"/>
  </w:num>
  <w:num w:numId="14">
    <w:abstractNumId w:val="17"/>
  </w:num>
  <w:num w:numId="15">
    <w:abstractNumId w:val="6"/>
  </w:num>
  <w:num w:numId="16">
    <w:abstractNumId w:val="31"/>
  </w:num>
  <w:num w:numId="17">
    <w:abstractNumId w:val="14"/>
  </w:num>
  <w:num w:numId="18">
    <w:abstractNumId w:val="29"/>
  </w:num>
  <w:num w:numId="19">
    <w:abstractNumId w:val="22"/>
  </w:num>
  <w:num w:numId="20">
    <w:abstractNumId w:val="25"/>
  </w:num>
  <w:num w:numId="21">
    <w:abstractNumId w:val="33"/>
  </w:num>
  <w:num w:numId="22">
    <w:abstractNumId w:val="13"/>
  </w:num>
  <w:num w:numId="23">
    <w:abstractNumId w:val="7"/>
  </w:num>
  <w:num w:numId="24">
    <w:abstractNumId w:val="1"/>
  </w:num>
  <w:num w:numId="25">
    <w:abstractNumId w:val="30"/>
  </w:num>
  <w:num w:numId="26">
    <w:abstractNumId w:val="20"/>
  </w:num>
  <w:num w:numId="27">
    <w:abstractNumId w:val="11"/>
  </w:num>
  <w:num w:numId="28">
    <w:abstractNumId w:val="24"/>
  </w:num>
  <w:num w:numId="29">
    <w:abstractNumId w:val="36"/>
  </w:num>
  <w:num w:numId="30">
    <w:abstractNumId w:val="16"/>
  </w:num>
  <w:num w:numId="31">
    <w:abstractNumId w:val="3"/>
  </w:num>
  <w:num w:numId="32">
    <w:abstractNumId w:val="12"/>
  </w:num>
  <w:num w:numId="33">
    <w:abstractNumId w:val="27"/>
  </w:num>
  <w:num w:numId="34">
    <w:abstractNumId w:val="23"/>
  </w:num>
  <w:num w:numId="35">
    <w:abstractNumId w:val="18"/>
  </w:num>
  <w:num w:numId="36">
    <w:abstractNumId w:val="15"/>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76A18"/>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04FF"/>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DA8"/>
    <w:rsid w:val="00441011"/>
    <w:rsid w:val="004432C4"/>
    <w:rsid w:val="00447C01"/>
    <w:rsid w:val="00451D8C"/>
    <w:rsid w:val="00455202"/>
    <w:rsid w:val="00456835"/>
    <w:rsid w:val="004631A6"/>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B7A"/>
    <w:rsid w:val="006325F0"/>
    <w:rsid w:val="006343C1"/>
    <w:rsid w:val="006360E7"/>
    <w:rsid w:val="00637CF5"/>
    <w:rsid w:val="00641BB4"/>
    <w:rsid w:val="0065328D"/>
    <w:rsid w:val="006534E1"/>
    <w:rsid w:val="006607AF"/>
    <w:rsid w:val="006609F9"/>
    <w:rsid w:val="006709EF"/>
    <w:rsid w:val="00681FF5"/>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14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67CEA"/>
    <w:rsid w:val="00977668"/>
    <w:rsid w:val="00980D64"/>
    <w:rsid w:val="00983770"/>
    <w:rsid w:val="00983B5D"/>
    <w:rsid w:val="00986EEA"/>
    <w:rsid w:val="00993431"/>
    <w:rsid w:val="00995D38"/>
    <w:rsid w:val="00997C57"/>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6FC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en@iitk.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acs.org/doi/full/10.1021/acs.estlett.0c00982"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2021-02-15T05:40:00Z</dcterms:created>
  <dcterms:modified xsi:type="dcterms:W3CDTF">2021-02-15T05:40:00Z</dcterms:modified>
</cp:coreProperties>
</file>