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1" w:rsidRDefault="00426658" w:rsidP="00426658">
      <w:pPr>
        <w:spacing w:after="160" w:line="259" w:lineRule="auto"/>
        <w:rPr>
          <w:b/>
          <w:color w:val="244061" w:themeColor="accent1" w:themeShade="80"/>
          <w:sz w:val="24"/>
          <w:szCs w:val="24"/>
          <w:lang w:val="en-IN"/>
        </w:rPr>
      </w:pPr>
      <w:r w:rsidRPr="00426658">
        <w:rPr>
          <w:b/>
          <w:color w:val="244061" w:themeColor="accent1" w:themeShade="80"/>
          <w:sz w:val="24"/>
          <w:szCs w:val="24"/>
          <w:lang w:val="en-IN"/>
        </w:rPr>
        <w:t>DBT-BIRAC Call on COVID-19 Research Consortium</w:t>
      </w:r>
    </w:p>
    <w:p w:rsidR="00426658" w:rsidRDefault="00426658" w:rsidP="00426658">
      <w:pPr>
        <w:spacing w:after="160" w:line="259" w:lineRule="auto"/>
        <w:rPr>
          <w:b/>
          <w:color w:val="244061" w:themeColor="accent1" w:themeShade="80"/>
          <w:sz w:val="24"/>
          <w:szCs w:val="24"/>
          <w:lang w:val="en-IN"/>
        </w:rPr>
      </w:pPr>
    </w:p>
    <w:p w:rsidR="00426658" w:rsidRPr="00426658" w:rsidRDefault="00426658" w:rsidP="00426658">
      <w:pPr>
        <w:shd w:val="clear" w:color="auto" w:fill="FFFFFF"/>
        <w:spacing w:before="272"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Proposals sought on development of diagnostics, </w:t>
      </w:r>
      <w:proofErr w:type="spellStart"/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vaccines</w:t>
      </w:r>
      <w:proofErr w:type="gramStart"/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,therapeutics</w:t>
      </w:r>
      <w:proofErr w:type="spellEnd"/>
      <w:proofErr w:type="gramEnd"/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and other interventions</w:t>
      </w:r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4266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16 proposals have been recommended for funding support</w:t>
      </w:r>
    </w:p>
    <w:p w:rsidR="00426658" w:rsidRPr="00426658" w:rsidRDefault="00426658" w:rsidP="00426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6658" w:rsidRP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Department of Biotechnology and Biotechnology Industry Research Assistance Council had invited applications on COVID-19 Research Consortium. The first phase of the call ended on 30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th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 March 2020 and around 500 applications were received from academia and Industry. The multi-tiered review process is ongoing and till date 16 proposals of devices, diagnostics, vaccine candidates, therapeutics and other interventions have been recommended for receiving funding support.</w:t>
      </w:r>
    </w:p>
    <w:p w:rsidR="00426658" w:rsidRP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multifaceted approach is being adopted to ensure that vaccine candidates utilizing different platforms and at different stages of development are fast tracked through this Research Consortium under funding from National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Biopharma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Mission. Both, repurposing of existing vaccine candidates for immediate protection of high-risk groups and novel vaccine candidate development were considered while selecting proposals under this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call.Funding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support has been recommended to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Cadila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Healthcare Ltd for advancing the </w:t>
      </w: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of a DNA Vaccine candidate against Novel </w:t>
      </w:r>
      <w:proofErr w:type="spellStart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Coronavirus</w:t>
      </w:r>
      <w:proofErr w:type="spellEnd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SARS-CoV-2.  </w:t>
      </w:r>
      <w:proofErr w:type="gramStart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 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Bharat Biotech International Ltd for COVID-19 vaccine candidate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utilising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inactivated</w:t>
      </w:r>
      <w:proofErr w:type="spellEnd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rabies vector platform. 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Furthermore, for the Phase III human clinical trials study of recombinant BCG vaccine (VPM1002) planned in</w:t>
      </w: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 high-risk population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, Serum Institute of India Private Limited (SIIPL</w:t>
      </w:r>
      <w:proofErr w:type="gram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gramEnd"/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supported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a novel vaccine evaluation platform at National Institute of Immunology to support SARS-CoV-2 vaccine development has also been approved for financial support.</w:t>
      </w:r>
    </w:p>
    <w:p w:rsidR="00426658" w:rsidRP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Production of purified immunoglobulin G,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IgG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at commercial scale from COVID-19 convalescent sera and production of high titers of equine hyper immune globulin for the treatment of COVID infected patients on large scale will be supported at Virchow Biotech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Ltd.Financial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support to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OncoSeek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Bio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 will be provided to create an </w:t>
      </w:r>
      <w:r w:rsidRPr="004266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 vitro</w:t>
      </w: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Lung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Organoid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model.</w:t>
      </w:r>
    </w:p>
    <w:p w:rsidR="00426658" w:rsidRP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boost indigenous production and to scale-up the production of molecular and </w:t>
      </w:r>
      <w:proofErr w:type="gram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Rapid</w:t>
      </w:r>
      <w:proofErr w:type="gram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diagnostic tests following companies will receive financial support: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Mylab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Discovery Solutions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Huwel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Lifesciences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Ubio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Biotechnology Systems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Dhiti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Life Sciences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MagGenome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Technologies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Ltd,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Bigtec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 and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Yaathum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Biotech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Pvt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Ltd.</w:t>
      </w:r>
    </w:p>
    <w:p w:rsidR="00426658" w:rsidRP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Common shared facility to manufacture diagnostic kits and ventilators will be established at Andhra Pradesh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MedTech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Zone (AMTZ) under National </w:t>
      </w:r>
      <w:proofErr w:type="spellStart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>Biopharma</w:t>
      </w:r>
      <w:proofErr w:type="spellEnd"/>
      <w:r w:rsidRPr="004266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Mission of DBT to provide scale up production capacity to different manufacturers.</w:t>
      </w:r>
    </w:p>
    <w:p w:rsid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658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and deployment of contactless, affordable thermopile based ultrasonic sensors for screening of COVID-19 suspects and indigenous production of novel PPE for healthcare professionals will also be supported.</w:t>
      </w:r>
    </w:p>
    <w:p w:rsidR="00426658" w:rsidRDefault="00426658" w:rsidP="0042665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658" w:rsidRDefault="00426658" w:rsidP="0042665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AB172A"/>
          <w:sz w:val="26"/>
          <w:szCs w:val="26"/>
        </w:rPr>
      </w:pPr>
      <w:r>
        <w:rPr>
          <w:rFonts w:ascii="Arial" w:hAnsi="Arial" w:cs="Arial"/>
          <w:b/>
          <w:bCs/>
          <w:color w:val="AB172A"/>
          <w:sz w:val="26"/>
          <w:szCs w:val="26"/>
        </w:rPr>
        <w:t>Source</w:t>
      </w:r>
    </w:p>
    <w:p w:rsidR="00426658" w:rsidRPr="00426658" w:rsidRDefault="00426658" w:rsidP="006462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Press Information Bureau, 20</w:t>
      </w:r>
      <w:r w:rsidRPr="00B46C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p w:rsidR="00426658" w:rsidRPr="00426658" w:rsidRDefault="00426658" w:rsidP="00426658">
      <w:pPr>
        <w:spacing w:after="160" w:line="259" w:lineRule="auto"/>
        <w:rPr>
          <w:b/>
          <w:color w:val="244061" w:themeColor="accent1" w:themeShade="80"/>
          <w:sz w:val="24"/>
          <w:szCs w:val="24"/>
        </w:rPr>
      </w:pPr>
    </w:p>
    <w:sectPr w:rsidR="00426658" w:rsidRPr="00426658" w:rsidSect="0042665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6658"/>
    <w:rsid w:val="00426658"/>
    <w:rsid w:val="00646212"/>
    <w:rsid w:val="009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426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65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66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6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>HP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2</cp:revision>
  <dcterms:created xsi:type="dcterms:W3CDTF">2020-04-23T08:07:00Z</dcterms:created>
  <dcterms:modified xsi:type="dcterms:W3CDTF">2020-04-23T08:09:00Z</dcterms:modified>
</cp:coreProperties>
</file>